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2D" w:rsidRPr="00FC0EDD" w:rsidRDefault="00EA11CC"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C15DE6">
        <w:rPr>
          <w:rFonts w:ascii="Times New Roman" w:eastAsia="Times New Roman" w:hAnsi="Times New Roman" w:cs="Times New Roman"/>
          <w:sz w:val="28"/>
          <w:szCs w:val="28"/>
          <w:lang w:eastAsia="ru-RU"/>
        </w:rPr>
        <w:t>ТВЕРЖДЕНО</w:t>
      </w:r>
    </w:p>
    <w:p w:rsidR="0081042D" w:rsidRPr="00FC0EDD" w:rsidRDefault="00E85852"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 xml:space="preserve"> </w:t>
      </w:r>
      <w:r w:rsidR="0081042D">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приказом директора</w:t>
      </w:r>
    </w:p>
    <w:p w:rsidR="0081042D" w:rsidRPr="00FC0EDD" w:rsidRDefault="00E85852" w:rsidP="00E85852">
      <w:pPr>
        <w:shd w:val="clear" w:color="auto" w:fill="FFFFFF"/>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БУ</w:t>
      </w:r>
      <w:r w:rsidR="0081042D"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Централизованная бухгалтерия</w:t>
      </w:r>
      <w:r w:rsidR="0081042D" w:rsidRPr="00FC0EDD">
        <w:rPr>
          <w:rFonts w:ascii="Times New Roman" w:eastAsia="Times New Roman" w:hAnsi="Times New Roman" w:cs="Times New Roman"/>
          <w:sz w:val="28"/>
          <w:szCs w:val="28"/>
          <w:lang w:eastAsia="ru-RU"/>
        </w:rPr>
        <w:t>»</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sidR="00E85852">
        <w:rPr>
          <w:rFonts w:ascii="Times New Roman" w:eastAsia="Times New Roman" w:hAnsi="Times New Roman" w:cs="Times New Roman"/>
          <w:sz w:val="28"/>
          <w:szCs w:val="28"/>
          <w:lang w:eastAsia="ru-RU"/>
        </w:rPr>
        <w:t xml:space="preserve">   </w:t>
      </w:r>
      <w:r w:rsidR="00C15DE6">
        <w:rPr>
          <w:rFonts w:ascii="Times New Roman" w:eastAsia="Times New Roman" w:hAnsi="Times New Roman" w:cs="Times New Roman"/>
          <w:sz w:val="28"/>
          <w:szCs w:val="28"/>
          <w:lang w:eastAsia="ru-RU"/>
        </w:rPr>
        <w:t xml:space="preserve"> от</w:t>
      </w:r>
      <w:r w:rsidR="00C60E69">
        <w:rPr>
          <w:rFonts w:ascii="Times New Roman" w:eastAsia="Times New Roman" w:hAnsi="Times New Roman" w:cs="Times New Roman"/>
          <w:sz w:val="28"/>
          <w:szCs w:val="28"/>
          <w:lang w:eastAsia="ru-RU"/>
        </w:rPr>
        <w:t xml:space="preserve">   </w:t>
      </w:r>
      <w:r w:rsidR="00C15DE6">
        <w:rPr>
          <w:rFonts w:ascii="Times New Roman" w:eastAsia="Times New Roman" w:hAnsi="Times New Roman" w:cs="Times New Roman"/>
          <w:sz w:val="28"/>
          <w:szCs w:val="28"/>
          <w:lang w:eastAsia="ru-RU"/>
        </w:rPr>
        <w:t xml:space="preserve"> </w:t>
      </w:r>
      <w:r w:rsidR="00C60E69" w:rsidRPr="00C60E69">
        <w:rPr>
          <w:rFonts w:ascii="Times New Roman" w:eastAsia="Times New Roman" w:hAnsi="Times New Roman" w:cs="Times New Roman"/>
          <w:sz w:val="28"/>
          <w:szCs w:val="28"/>
          <w:u w:val="single"/>
          <w:lang w:eastAsia="ru-RU"/>
        </w:rPr>
        <w:t>02.12.2013</w:t>
      </w:r>
      <w:r w:rsidR="00C60E69">
        <w:rPr>
          <w:rFonts w:ascii="Times New Roman" w:eastAsia="Times New Roman" w:hAnsi="Times New Roman" w:cs="Times New Roman"/>
          <w:sz w:val="28"/>
          <w:szCs w:val="28"/>
          <w:lang w:eastAsia="ru-RU"/>
        </w:rPr>
        <w:t xml:space="preserve">               </w:t>
      </w:r>
      <w:r w:rsidR="00C15DE6">
        <w:rPr>
          <w:rFonts w:ascii="Times New Roman" w:eastAsia="Times New Roman" w:hAnsi="Times New Roman" w:cs="Times New Roman"/>
          <w:sz w:val="28"/>
          <w:szCs w:val="28"/>
          <w:lang w:eastAsia="ru-RU"/>
        </w:rPr>
        <w:t xml:space="preserve"> №</w:t>
      </w:r>
      <w:r w:rsidR="00C60E69">
        <w:rPr>
          <w:rFonts w:ascii="Times New Roman" w:eastAsia="Times New Roman" w:hAnsi="Times New Roman" w:cs="Times New Roman"/>
          <w:sz w:val="28"/>
          <w:szCs w:val="28"/>
          <w:lang w:eastAsia="ru-RU"/>
        </w:rPr>
        <w:t xml:space="preserve"> </w:t>
      </w:r>
      <w:r w:rsidR="00C60E69" w:rsidRPr="00C60E69">
        <w:rPr>
          <w:rFonts w:ascii="Times New Roman" w:eastAsia="Times New Roman" w:hAnsi="Times New Roman" w:cs="Times New Roman"/>
          <w:sz w:val="28"/>
          <w:szCs w:val="28"/>
          <w:u w:val="single"/>
          <w:lang w:eastAsia="ru-RU"/>
        </w:rPr>
        <w:t>3</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bookmarkStart w:id="0" w:name="_GoBack"/>
      <w:bookmarkEnd w:id="0"/>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Положение о закупках</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товаров, работ и услуг для нужд</w:t>
      </w:r>
    </w:p>
    <w:p w:rsidR="00C15DE6"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 xml:space="preserve">Муниципального </w:t>
      </w:r>
      <w:r w:rsidR="00E85852">
        <w:rPr>
          <w:rFonts w:ascii="Times New Roman" w:eastAsia="Times New Roman" w:hAnsi="Times New Roman" w:cs="Times New Roman"/>
          <w:b/>
          <w:sz w:val="48"/>
          <w:szCs w:val="48"/>
          <w:lang w:eastAsia="ru-RU"/>
        </w:rPr>
        <w:t>бюджетного учреждения</w:t>
      </w:r>
    </w:p>
    <w:p w:rsidR="00C15DE6"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 xml:space="preserve"> «</w:t>
      </w:r>
      <w:r w:rsidR="00E85852">
        <w:rPr>
          <w:rFonts w:ascii="Times New Roman" w:eastAsia="Times New Roman" w:hAnsi="Times New Roman" w:cs="Times New Roman"/>
          <w:b/>
          <w:sz w:val="48"/>
          <w:szCs w:val="48"/>
          <w:lang w:eastAsia="ru-RU"/>
        </w:rPr>
        <w:t>Централизованная бухгалтерия</w:t>
      </w:r>
      <w:r w:rsidRPr="00FC0EDD">
        <w:rPr>
          <w:rFonts w:ascii="Times New Roman" w:eastAsia="Times New Roman" w:hAnsi="Times New Roman" w:cs="Times New Roman"/>
          <w:b/>
          <w:sz w:val="48"/>
          <w:szCs w:val="48"/>
          <w:lang w:eastAsia="ru-RU"/>
        </w:rPr>
        <w:t xml:space="preserve">» муниципального района </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r w:rsidRPr="00FC0EDD">
        <w:rPr>
          <w:rFonts w:ascii="Times New Roman" w:eastAsia="Times New Roman" w:hAnsi="Times New Roman" w:cs="Times New Roman"/>
          <w:b/>
          <w:sz w:val="48"/>
          <w:szCs w:val="48"/>
          <w:lang w:eastAsia="ru-RU"/>
        </w:rPr>
        <w:t>Камышлинский Самарской области</w:t>
      </w: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proofErr w:type="gramStart"/>
      <w:r w:rsidRPr="00FC0EDD">
        <w:rPr>
          <w:rFonts w:ascii="Times New Roman" w:eastAsia="Times New Roman" w:hAnsi="Times New Roman" w:cs="Times New Roman"/>
          <w:b/>
          <w:sz w:val="28"/>
          <w:szCs w:val="28"/>
          <w:lang w:eastAsia="ru-RU"/>
        </w:rPr>
        <w:t>с</w:t>
      </w:r>
      <w:proofErr w:type="gramEnd"/>
      <w:r w:rsidRPr="00FC0EDD">
        <w:rPr>
          <w:rFonts w:ascii="Times New Roman" w:eastAsia="Times New Roman" w:hAnsi="Times New Roman" w:cs="Times New Roman"/>
          <w:b/>
          <w:sz w:val="28"/>
          <w:szCs w:val="28"/>
          <w:lang w:eastAsia="ru-RU"/>
        </w:rPr>
        <w:t>. Камышла</w:t>
      </w:r>
    </w:p>
    <w:p w:rsidR="0081042D" w:rsidRPr="00FC0EDD" w:rsidRDefault="00C15DE6"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2013</w:t>
      </w:r>
    </w:p>
    <w:p w:rsidR="0038334E" w:rsidRDefault="0081042D" w:rsidP="0081042D">
      <w:pPr>
        <w:shd w:val="clear" w:color="auto" w:fill="FFFFFF"/>
        <w:spacing w:before="120" w:after="0" w:line="240" w:lineRule="auto"/>
        <w:ind w:left="-180"/>
        <w:jc w:val="center"/>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lastRenderedPageBreak/>
        <w:br w:type="page"/>
      </w: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lastRenderedPageBreak/>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Глава 13. Запрос ценовых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306A8D"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C15DE6">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1" w:name="_Toc312352856"/>
      <w:r w:rsidRPr="00FC0EDD">
        <w:rPr>
          <w:rFonts w:ascii="Times New Roman" w:eastAsia="Times New Roman" w:hAnsi="Times New Roman" w:cs="Times New Roman"/>
          <w:b/>
          <w:bCs/>
          <w:kern w:val="28"/>
          <w:sz w:val="24"/>
          <w:szCs w:val="24"/>
        </w:rPr>
        <w:lastRenderedPageBreak/>
        <w:t>Термины и определения</w:t>
      </w:r>
      <w:bookmarkEnd w:id="1"/>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w:t>
      </w:r>
      <w:proofErr w:type="gramStart"/>
      <w:r w:rsidRPr="00FC0EDD">
        <w:rPr>
          <w:rFonts w:ascii="Times New Roman" w:eastAsia="Times New Roman" w:hAnsi="Times New Roman" w:cs="Times New Roman"/>
          <w:sz w:val="24"/>
          <w:szCs w:val="24"/>
          <w:lang w:eastAsia="ru-RU"/>
        </w:rPr>
        <w:t>ии ау</w:t>
      </w:r>
      <w:proofErr w:type="gramEnd"/>
      <w:r w:rsidRPr="00FC0EDD">
        <w:rPr>
          <w:rFonts w:ascii="Times New Roman" w:eastAsia="Times New Roman" w:hAnsi="Times New Roman" w:cs="Times New Roman"/>
          <w:sz w:val="24"/>
          <w:szCs w:val="24"/>
          <w:lang w:eastAsia="ru-RU"/>
        </w:rPr>
        <w:t>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w:t>
      </w:r>
      <w:proofErr w:type="gramEnd"/>
      <w:r w:rsidRPr="00FC0EDD">
        <w:rPr>
          <w:rFonts w:ascii="Times New Roman" w:eastAsia="Times New Roman" w:hAnsi="Times New Roman" w:cs="Times New Roman"/>
          <w:sz w:val="24"/>
          <w:szCs w:val="24"/>
          <w:lang w:eastAsia="ru-RU"/>
        </w:rPr>
        <w:t xml:space="preserve">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2"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2"/>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 </w:t>
      </w:r>
      <w:proofErr w:type="gramStart"/>
      <w:r w:rsidRPr="009A600B">
        <w:rPr>
          <w:rFonts w:ascii="Times New Roman" w:eastAsia="Times New Roman" w:hAnsi="Times New Roman" w:cs="Times New Roman"/>
          <w:sz w:val="24"/>
          <w:szCs w:val="24"/>
          <w:lang w:eastAsia="ru-RU"/>
        </w:rPr>
        <w:t xml:space="preserve">Настоящее Положение регулирует отношения, связанные с проведением закупок для нужд </w:t>
      </w:r>
      <w:r w:rsidR="00E85852" w:rsidRPr="00E85852">
        <w:rPr>
          <w:rFonts w:ascii="Times New Roman" w:eastAsia="Times New Roman" w:hAnsi="Times New Roman" w:cs="Times New Roman"/>
          <w:sz w:val="24"/>
          <w:szCs w:val="24"/>
          <w:lang w:eastAsia="ru-RU"/>
        </w:rPr>
        <w:t>МБУ «Централизованная бухгалтерия»</w:t>
      </w:r>
      <w:r w:rsidRPr="009A600B">
        <w:rPr>
          <w:rFonts w:ascii="Times New Roman" w:eastAsia="Times New Roman" w:hAnsi="Times New Roman" w:cs="Times New Roman"/>
          <w:sz w:val="24"/>
          <w:szCs w:val="24"/>
          <w:lang w:eastAsia="ru-RU"/>
        </w:rPr>
        <w:t xml:space="preserve">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 такого</w:t>
      </w:r>
      <w:proofErr w:type="gramEnd"/>
      <w:r w:rsidRPr="009A600B">
        <w:rPr>
          <w:rFonts w:ascii="Times New Roman" w:eastAsia="Times New Roman" w:hAnsi="Times New Roman" w:cs="Times New Roman"/>
          <w:sz w:val="24"/>
          <w:szCs w:val="24"/>
          <w:lang w:eastAsia="ru-RU"/>
        </w:rPr>
        <w:t xml:space="preserve">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w:t>
      </w:r>
      <w:proofErr w:type="gramStart"/>
      <w:r w:rsidRPr="009A600B">
        <w:rPr>
          <w:rFonts w:ascii="Times New Roman" w:eastAsia="Times New Roman" w:hAnsi="Times New Roman" w:cs="Times New Roman"/>
          <w:sz w:val="24"/>
          <w:szCs w:val="24"/>
          <w:lang w:eastAsia="ru-RU"/>
        </w:rPr>
        <w:t xml:space="preserve">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w:t>
      </w:r>
      <w:proofErr w:type="gramEnd"/>
      <w:r w:rsidRPr="009A600B">
        <w:rPr>
          <w:rFonts w:ascii="Times New Roman" w:eastAsia="Times New Roman" w:hAnsi="Times New Roman" w:cs="Times New Roman"/>
          <w:color w:val="000000"/>
          <w:sz w:val="24"/>
          <w:szCs w:val="24"/>
          <w:shd w:val="clear" w:color="auto" w:fill="FFFFFF"/>
          <w:lang w:eastAsia="ru-RU"/>
        </w:rPr>
        <w:t xml:space="preserve">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3"/>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4"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Уполномоченный орган по размещению заказов.</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с поставщиками заключаются Заказчиком, если иное не предусмотрено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2.2.3. Уполномоченный орган проводит закупочные процедуры в случаях:</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Если закупаемая продукция включена в перечень централизованно закупаемой продукции, утвержденный  Правительством Российской Федераций;</w:t>
      </w:r>
      <w:proofErr w:type="gramEnd"/>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Если предполагаемая сумма закупок одноименной продукции за квартал превышает </w:t>
      </w:r>
      <w:r w:rsidR="00097E84">
        <w:rPr>
          <w:rFonts w:ascii="Times New Roman" w:eastAsia="Times New Roman" w:hAnsi="Times New Roman" w:cs="Times New Roman"/>
          <w:sz w:val="24"/>
          <w:szCs w:val="24"/>
          <w:lang w:eastAsia="ru-RU"/>
        </w:rPr>
        <w:t>5</w:t>
      </w:r>
      <w:r w:rsidR="009A600B" w:rsidRPr="009A600B">
        <w:rPr>
          <w:rFonts w:ascii="Times New Roman" w:eastAsia="Times New Roman" w:hAnsi="Times New Roman" w:cs="Times New Roman"/>
          <w:sz w:val="24"/>
          <w:szCs w:val="24"/>
          <w:lang w:eastAsia="ru-RU"/>
        </w:rPr>
        <w:t>00</w:t>
      </w:r>
      <w:r w:rsidR="009A600B">
        <w:rPr>
          <w:rFonts w:ascii="Times New Roman" w:eastAsia="Times New Roman" w:hAnsi="Times New Roman" w:cs="Times New Roman"/>
          <w:sz w:val="24"/>
          <w:szCs w:val="24"/>
          <w:lang w:eastAsia="ru-RU"/>
        </w:rPr>
        <w:t xml:space="preserve"> тыс</w:t>
      </w:r>
      <w:r w:rsidRPr="009A600B">
        <w:rPr>
          <w:rFonts w:ascii="Times New Roman" w:eastAsia="Times New Roman" w:hAnsi="Times New Roman" w:cs="Times New Roman"/>
          <w:sz w:val="24"/>
          <w:szCs w:val="24"/>
          <w:lang w:eastAsia="ru-RU"/>
        </w:rPr>
        <w:t>. рублей;</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Иных случаях, предусмотренных договором с Заказчиком.</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поставщик.</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2.2.5. Уполномоченный орган определяется распоряжением Главы мун</w:t>
      </w:r>
      <w:r w:rsidR="009A600B" w:rsidRPr="009A600B">
        <w:rPr>
          <w:rFonts w:ascii="Times New Roman" w:eastAsia="Times New Roman" w:hAnsi="Times New Roman" w:cs="Times New Roman"/>
          <w:sz w:val="24"/>
          <w:szCs w:val="24"/>
          <w:lang w:eastAsia="ru-RU"/>
        </w:rPr>
        <w:t>иципального района Камышлинский.</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9A600B">
        <w:rPr>
          <w:rFonts w:ascii="Times New Roman" w:eastAsia="Times New Roman" w:hAnsi="Times New Roman" w:cs="Times New Roman"/>
          <w:sz w:val="24"/>
          <w:szCs w:val="24"/>
          <w:lang w:eastAsia="ru-RU"/>
        </w:rPr>
        <w:t>могут</w:t>
      </w:r>
      <w:proofErr w:type="gramEnd"/>
      <w:r w:rsidRPr="009A600B">
        <w:rPr>
          <w:rFonts w:ascii="Times New Roman" w:eastAsia="Times New Roman" w:hAnsi="Times New Roman" w:cs="Times New Roman"/>
          <w:sz w:val="24"/>
          <w:szCs w:val="24"/>
          <w:lang w:eastAsia="ru-RU"/>
        </w:rPr>
        <w:t xml:space="preserve">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2.3.4. </w:t>
      </w:r>
      <w:proofErr w:type="gramStart"/>
      <w:r w:rsidRPr="009A600B">
        <w:rPr>
          <w:rFonts w:ascii="Times New Roman" w:eastAsia="Times New Roman" w:hAnsi="Times New Roman" w:cs="Times New Roman"/>
          <w:sz w:val="24"/>
          <w:szCs w:val="24"/>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600B">
        <w:rPr>
          <w:rFonts w:ascii="Times New Roman" w:eastAsia="Times New Roman" w:hAnsi="Times New Roman" w:cs="Times New Roman"/>
          <w:sz w:val="24"/>
          <w:szCs w:val="24"/>
          <w:lang w:eastAsia="ru-RU"/>
        </w:rPr>
        <w:t xml:space="preserve">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9A600B">
        <w:rPr>
          <w:rFonts w:ascii="Times New Roman" w:eastAsia="Times New Roman" w:hAnsi="Times New Roman" w:cs="Times New Roman"/>
          <w:sz w:val="24"/>
          <w:szCs w:val="24"/>
          <w:lang w:eastAsia="ru-RU"/>
        </w:rPr>
        <w:t>соответствующими</w:t>
      </w:r>
      <w:proofErr w:type="gramEnd"/>
      <w:r w:rsidRPr="009A600B">
        <w:rPr>
          <w:rFonts w:ascii="Times New Roman" w:eastAsia="Times New Roman" w:hAnsi="Times New Roman" w:cs="Times New Roman"/>
          <w:sz w:val="24"/>
          <w:szCs w:val="24"/>
          <w:lang w:eastAsia="ru-RU"/>
        </w:rPr>
        <w:t xml:space="preserve">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5"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2.3.8. </w:t>
      </w:r>
      <w:bookmarkEnd w:id="5"/>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9A600B">
        <w:rPr>
          <w:rFonts w:ascii="Times New Roman" w:eastAsia="Times New Roman" w:hAnsi="Times New Roman" w:cs="Times New Roman"/>
          <w:sz w:val="24"/>
          <w:szCs w:val="24"/>
          <w:lang w:eastAsia="ru-RU"/>
        </w:rPr>
        <w:t>ознакомлен</w:t>
      </w:r>
      <w:proofErr w:type="gramEnd"/>
      <w:r w:rsidRPr="009A600B">
        <w:rPr>
          <w:rFonts w:ascii="Times New Roman" w:eastAsia="Times New Roman" w:hAnsi="Times New Roman" w:cs="Times New Roman"/>
          <w:sz w:val="24"/>
          <w:szCs w:val="24"/>
          <w:lang w:eastAsia="ru-RU"/>
        </w:rPr>
        <w:t>».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w:t>
      </w:r>
      <w:r w:rsidRPr="009A600B">
        <w:rPr>
          <w:rFonts w:ascii="Times New Roman" w:eastAsia="Times New Roman" w:hAnsi="Times New Roman" w:cs="Times New Roman"/>
          <w:sz w:val="24"/>
          <w:szCs w:val="24"/>
          <w:lang w:eastAsia="ru-RU"/>
        </w:rPr>
        <w:lastRenderedPageBreak/>
        <w:t>протокола в форме электронного документа, при этом протокол должен быть подписан электронными подписями членов комиссии.</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2.3.15. При возникновении необходимости принятия срочного решения по отдельным вопросам и невозможности оперативного проведения заседания, а так же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Если член комиссии голосует «против», он направляет свои возражения ответственному секретарю Закупочной комиссии для доведения их до сведения всех членов комиссии.</w:t>
      </w:r>
    </w:p>
    <w:bookmarkEnd w:id="4"/>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6"/>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3.3. </w:t>
      </w:r>
      <w:proofErr w:type="gramStart"/>
      <w:r w:rsidRPr="009A600B">
        <w:rPr>
          <w:rFonts w:ascii="Times New Roman" w:eastAsia="Times New Roman" w:hAnsi="Times New Roman" w:cs="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16294A">
        <w:rPr>
          <w:rFonts w:ascii="Times New Roman" w:eastAsia="Times New Roman" w:hAnsi="Times New Roman" w:cs="Times New Roman"/>
          <w:sz w:val="24"/>
          <w:szCs w:val="24"/>
          <w:lang w:eastAsia="ru-RU"/>
        </w:rPr>
        <w:t xml:space="preserve">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w:t>
      </w:r>
      <w:r w:rsidRPr="009A600B">
        <w:rPr>
          <w:rFonts w:ascii="Times New Roman" w:eastAsia="Times New Roman" w:hAnsi="Times New Roman" w:cs="Times New Roman"/>
          <w:sz w:val="24"/>
          <w:szCs w:val="24"/>
          <w:lang w:eastAsia="ru-RU"/>
        </w:rPr>
        <w:lastRenderedPageBreak/>
        <w:t>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3.6. </w:t>
      </w:r>
      <w:proofErr w:type="gramStart"/>
      <w:r w:rsidRPr="009A600B">
        <w:rPr>
          <w:rFonts w:ascii="Times New Roman" w:eastAsia="Times New Roman" w:hAnsi="Times New Roman" w:cs="Times New Roman"/>
          <w:sz w:val="24"/>
          <w:szCs w:val="24"/>
          <w:lang w:eastAsia="ru-RU"/>
        </w:rPr>
        <w:t xml:space="preserve">Информация, предусмотренная п. 3.2.-3.5.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9"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roofErr w:type="gramEnd"/>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w:t>
      </w:r>
      <w:proofErr w:type="gramStart"/>
      <w:r w:rsidRPr="009A600B">
        <w:rPr>
          <w:rFonts w:ascii="Times New Roman" w:eastAsia="Times New Roman" w:hAnsi="Times New Roman" w:cs="Times New Roman"/>
          <w:sz w:val="24"/>
          <w:szCs w:val="24"/>
          <w:lang w:eastAsia="ru-RU"/>
        </w:rPr>
        <w:t xml:space="preserve">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7" w:name="_Toc312352860"/>
      <w:r w:rsidRPr="009A600B">
        <w:rPr>
          <w:rFonts w:ascii="Times New Roman" w:eastAsia="Times New Roman" w:hAnsi="Times New Roman" w:cs="Times New Roman"/>
          <w:b/>
          <w:bCs/>
          <w:kern w:val="28"/>
          <w:sz w:val="24"/>
          <w:szCs w:val="24"/>
        </w:rPr>
        <w:t>Глава 4. Планирование и отчетность</w:t>
      </w:r>
      <w:bookmarkEnd w:id="7"/>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4.1. Заказчик осуществляют перспективное планирование закупок путем формирования годовой программы закупок (ГПЗ).</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4.2. ГПЗ разрабатывается Заказчиком на основе его Годовой программы деятельности.</w:t>
      </w:r>
    </w:p>
    <w:p w:rsidR="00FC0EDD" w:rsidRPr="009A600B" w:rsidRDefault="00FC0EDD" w:rsidP="00FC0EDD">
      <w:pPr>
        <w:shd w:val="clear" w:color="auto" w:fill="FFFFFF"/>
        <w:tabs>
          <w:tab w:val="left" w:pos="1701"/>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4.3. ГПЗ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ГПЗ.</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42019A">
        <w:rPr>
          <w:rFonts w:ascii="Times New Roman" w:eastAsia="Times New Roman" w:hAnsi="Times New Roman" w:cs="Times New Roman"/>
          <w:sz w:val="24"/>
          <w:szCs w:val="24"/>
          <w:lang w:eastAsia="ru-RU"/>
        </w:rPr>
        <w:t>4.4. На основании годовой программы заказчика, Уполномоченный орган разрабатывает и утверждает годовую программу централизованных закупок. Закупки, включенные в такую программу, осуществляются Уполномоченным органом.</w:t>
      </w:r>
    </w:p>
    <w:p w:rsidR="00FC0EDD" w:rsidRPr="0042019A"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4.5. Годовая программа закупок и годовая программа централизованных закупок размещается на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4.6. Годовая программа закупок может корректироваться ежеквартально. В отдельных случаях годовая программа закупок может корректироваться ежемесячно.</w:t>
      </w:r>
    </w:p>
    <w:p w:rsidR="00FC0EDD" w:rsidRPr="009A600B" w:rsidRDefault="00FC0EDD" w:rsidP="00FC0EDD">
      <w:pPr>
        <w:spacing w:before="120" w:after="0" w:line="240" w:lineRule="auto"/>
        <w:ind w:firstLine="567"/>
        <w:jc w:val="both"/>
        <w:rPr>
          <w:rFonts w:ascii="Times New Roman" w:eastAsia="Times New Roman" w:hAnsi="Times New Roman" w:cs="Times New Roman"/>
          <w:color w:val="FF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8" w:name="_Toc312352861"/>
      <w:r w:rsidRPr="009A600B">
        <w:rPr>
          <w:rFonts w:ascii="Times New Roman" w:eastAsia="Times New Roman" w:hAnsi="Times New Roman" w:cs="Times New Roman"/>
          <w:b/>
          <w:bCs/>
          <w:kern w:val="28"/>
          <w:sz w:val="24"/>
          <w:szCs w:val="24"/>
        </w:rPr>
        <w:t>Глава 5. Участники процедур закупок</w:t>
      </w:r>
      <w:bookmarkEnd w:id="8"/>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5.1. </w:t>
      </w:r>
      <w:proofErr w:type="gramStart"/>
      <w:r w:rsidRPr="009A600B">
        <w:rPr>
          <w:rFonts w:ascii="Times New Roman" w:eastAsia="Times New Roman" w:hAnsi="Times New Roman" w:cs="Times New Roman"/>
          <w:sz w:val="24"/>
          <w:szCs w:val="24"/>
          <w:lang w:eastAsia="ru-RU"/>
        </w:rPr>
        <w:t>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A600B">
        <w:rPr>
          <w:rFonts w:ascii="Times New Roman" w:eastAsia="Times New Roman" w:hAnsi="Times New Roman" w:cs="Times New Roman"/>
          <w:sz w:val="24"/>
          <w:szCs w:val="24"/>
          <w:lang w:eastAsia="ru-RU"/>
        </w:rPr>
        <w:t xml:space="preserve">, </w:t>
      </w:r>
      <w:proofErr w:type="gramStart"/>
      <w:r w:rsidRPr="009A600B">
        <w:rPr>
          <w:rFonts w:ascii="Times New Roman" w:eastAsia="Times New Roman" w:hAnsi="Times New Roman" w:cs="Times New Roman"/>
          <w:sz w:val="24"/>
          <w:szCs w:val="24"/>
          <w:lang w:eastAsia="ru-RU"/>
        </w:rPr>
        <w:t>которые</w:t>
      </w:r>
      <w:proofErr w:type="gramEnd"/>
      <w:r w:rsidRPr="009A600B">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определенным настоящим Положением. При этом</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w:t>
      </w:r>
      <w:proofErr w:type="gramStart"/>
      <w:r w:rsidRPr="009A600B">
        <w:rPr>
          <w:rFonts w:ascii="Times New Roman" w:eastAsia="Times New Roman" w:hAnsi="Times New Roman" w:cs="Times New Roman"/>
          <w:sz w:val="24"/>
          <w:szCs w:val="24"/>
          <w:lang w:eastAsia="ru-RU"/>
        </w:rPr>
        <w:t xml:space="preserve">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r w:rsidRPr="009A600B">
        <w:rPr>
          <w:rFonts w:ascii="Times New Roman" w:eastAsia="Times New Roman" w:hAnsi="Times New Roman" w:cs="Times New Roman"/>
          <w:sz w:val="24"/>
          <w:szCs w:val="24"/>
          <w:lang w:eastAsia="ru-RU"/>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9"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9"/>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0" w:name="_Toc303269346"/>
      <w:r w:rsidRPr="009A600B">
        <w:rPr>
          <w:rFonts w:ascii="Times New Roman" w:eastAsia="Times New Roman" w:hAnsi="Times New Roman" w:cs="Times New Roman"/>
          <w:sz w:val="24"/>
          <w:szCs w:val="24"/>
          <w:lang w:eastAsia="ru-RU"/>
        </w:rPr>
        <w:t xml:space="preserve">6.1. </w:t>
      </w:r>
      <w:bookmarkEnd w:id="10"/>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ценовых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47"/>
      <w:r w:rsidRPr="009A600B">
        <w:rPr>
          <w:rFonts w:ascii="Times New Roman" w:eastAsia="Times New Roman" w:hAnsi="Times New Roman" w:cs="Times New Roman"/>
          <w:b/>
          <w:sz w:val="24"/>
          <w:szCs w:val="24"/>
          <w:lang w:eastAsia="ru-RU"/>
        </w:rPr>
        <w:t>6.2.</w:t>
      </w:r>
      <w:bookmarkEnd w:id="11"/>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Toc303269355"/>
      <w:r w:rsidRPr="009A600B">
        <w:rPr>
          <w:rFonts w:ascii="Times New Roman" w:eastAsia="Times New Roman" w:hAnsi="Times New Roman" w:cs="Times New Roman"/>
          <w:b/>
          <w:sz w:val="24"/>
          <w:szCs w:val="24"/>
          <w:lang w:eastAsia="ru-RU"/>
        </w:rPr>
        <w:t>6.3. Закрытый конкурс</w:t>
      </w:r>
      <w:bookmarkEnd w:id="12"/>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 xml:space="preserve">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w:t>
      </w:r>
      <w:r w:rsidRPr="009A600B">
        <w:rPr>
          <w:rFonts w:ascii="Times New Roman" w:eastAsia="Times New Roman" w:hAnsi="Times New Roman" w:cs="Times New Roman"/>
          <w:sz w:val="24"/>
          <w:szCs w:val="24"/>
          <w:lang w:eastAsia="ru-RU"/>
        </w:rPr>
        <w:lastRenderedPageBreak/>
        <w:t>поставщиками, и предполагаемая цена договора  о закупках превышает 1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proofErr w:type="gramStart"/>
      <w:r w:rsidRPr="009A600B">
        <w:rPr>
          <w:rFonts w:ascii="Times New Roman" w:eastAsia="Times New Roman" w:hAnsi="Times New Roman" w:cs="Times New Roman"/>
          <w:sz w:val="24"/>
          <w:szCs w:val="24"/>
          <w:lang w:eastAsia="ru-RU"/>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6.6. </w:t>
      </w:r>
      <w:proofErr w:type="gramStart"/>
      <w:r w:rsidRPr="009A600B">
        <w:rPr>
          <w:rFonts w:ascii="Times New Roman" w:eastAsia="Times New Roman" w:hAnsi="Times New Roman" w:cs="Times New Roman"/>
          <w:b/>
          <w:sz w:val="24"/>
          <w:szCs w:val="24"/>
          <w:lang w:eastAsia="ru-RU"/>
        </w:rPr>
        <w:t>Открытый</w:t>
      </w:r>
      <w:proofErr w:type="gramEnd"/>
      <w:r w:rsidRPr="009A600B">
        <w:rPr>
          <w:rFonts w:ascii="Times New Roman" w:eastAsia="Times New Roman" w:hAnsi="Times New Roman" w:cs="Times New Roman"/>
          <w:b/>
          <w:sz w:val="24"/>
          <w:szCs w:val="24"/>
          <w:lang w:eastAsia="ru-RU"/>
        </w:rPr>
        <w:t xml:space="preserve"> тендера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6.7. Запрос ценовых предложений</w:t>
      </w:r>
      <w:bookmarkEnd w:id="15"/>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9A600B">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договора  о закупках не превышает </w:t>
      </w:r>
      <w:r w:rsidR="00E85852">
        <w:rPr>
          <w:rFonts w:ascii="Times New Roman" w:eastAsia="Times New Roman" w:hAnsi="Times New Roman" w:cs="Times New Roman"/>
          <w:sz w:val="24"/>
          <w:szCs w:val="24"/>
          <w:lang w:eastAsia="ru-RU"/>
        </w:rPr>
        <w:t>7</w:t>
      </w:r>
      <w:r w:rsidRPr="009A600B">
        <w:rPr>
          <w:rFonts w:ascii="Times New Roman" w:eastAsia="Times New Roman" w:hAnsi="Times New Roman" w:cs="Times New Roman"/>
          <w:sz w:val="24"/>
          <w:szCs w:val="24"/>
          <w:lang w:eastAsia="ru-RU"/>
        </w:rPr>
        <w:t>00 тыс.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E85852" w:rsidRDefault="00E85852"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p>
    <w:p w:rsidR="00E85852" w:rsidRDefault="00E85852" w:rsidP="00FC0EDD">
      <w:pPr>
        <w:spacing w:before="120" w:after="0" w:line="240" w:lineRule="auto"/>
        <w:ind w:firstLine="567"/>
        <w:jc w:val="both"/>
        <w:rPr>
          <w:rFonts w:ascii="Times New Roman" w:eastAsia="Times New Roman" w:hAnsi="Times New Roman" w:cs="Times New Roman"/>
          <w:b/>
          <w:sz w:val="24"/>
          <w:szCs w:val="24"/>
          <w:lang w:eastAsia="ru-RU"/>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lastRenderedPageBreak/>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Стоимость закупок одноименной продукции не превышает </w:t>
      </w:r>
      <w:r w:rsidR="00097E84">
        <w:rPr>
          <w:rFonts w:ascii="Times New Roman" w:eastAsia="Times New Roman" w:hAnsi="Times New Roman" w:cs="Times New Roman"/>
          <w:sz w:val="24"/>
          <w:szCs w:val="24"/>
          <w:lang w:eastAsia="ru-RU"/>
        </w:rPr>
        <w:t>5</w:t>
      </w:r>
      <w:r w:rsidRPr="009A600B">
        <w:rPr>
          <w:rFonts w:ascii="Times New Roman" w:eastAsia="Times New Roman" w:hAnsi="Times New Roman" w:cs="Times New Roman"/>
          <w:sz w:val="24"/>
          <w:szCs w:val="24"/>
          <w:lang w:eastAsia="ru-RU"/>
        </w:rPr>
        <w:t>00 тыс.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6.10.7. Осуществляется закупка услуг по авторскому </w:t>
      </w:r>
      <w:proofErr w:type="gramStart"/>
      <w:r w:rsidRPr="009A600B">
        <w:rPr>
          <w:rFonts w:ascii="Times New Roman" w:eastAsia="Times New Roman" w:hAnsi="Times New Roman" w:cs="Times New Roman"/>
          <w:sz w:val="24"/>
          <w:szCs w:val="24"/>
          <w:lang w:eastAsia="ru-RU"/>
        </w:rPr>
        <w:t>контролю за</w:t>
      </w:r>
      <w:proofErr w:type="gramEnd"/>
      <w:r w:rsidRPr="009A600B">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spacing w:before="120"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 xml:space="preserve">к, в том числе требование о </w:t>
      </w:r>
      <w:r w:rsidRPr="009A600B">
        <w:rPr>
          <w:rFonts w:ascii="Times New Roman" w:eastAsia="Times New Roman" w:hAnsi="Times New Roman" w:cs="Times New Roman"/>
          <w:sz w:val="24"/>
          <w:szCs w:val="24"/>
          <w:lang w:eastAsia="ru-RU"/>
        </w:rPr>
        <w:lastRenderedPageBreak/>
        <w:t>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7.12. </w:t>
      </w:r>
      <w:proofErr w:type="gramStart"/>
      <w:r w:rsidRPr="009A600B">
        <w:rPr>
          <w:rFonts w:ascii="Times New Roman" w:eastAsia="Times New Roman" w:hAnsi="Times New Roman" w:cs="Times New Roman"/>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roofErr w:type="gramEnd"/>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 xml:space="preserve">его руководителем или уполномоченным им лицом (с приложением доверенности). Изменения в заявку </w:t>
      </w:r>
      <w:r w:rsidRPr="009A600B">
        <w:rPr>
          <w:rFonts w:ascii="Times New Roman" w:eastAsia="Times New Roman" w:hAnsi="Times New Roman" w:cs="Times New Roman"/>
          <w:sz w:val="24"/>
          <w:szCs w:val="24"/>
          <w:lang w:eastAsia="ru-RU"/>
        </w:rPr>
        <w:lastRenderedPageBreak/>
        <w:t>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8.13. Конкурсные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8.21. Решение Закупочной комиссии оформляется протоколом, в котором указываются 2 поставщика, </w:t>
      </w:r>
      <w:proofErr w:type="gramStart"/>
      <w:r w:rsidRPr="009A600B">
        <w:rPr>
          <w:rFonts w:ascii="Times New Roman" w:eastAsia="Times New Roman" w:hAnsi="Times New Roman" w:cs="Times New Roman"/>
          <w:sz w:val="24"/>
          <w:szCs w:val="24"/>
          <w:lang w:eastAsia="ru-RU"/>
        </w:rPr>
        <w:t>заявки</w:t>
      </w:r>
      <w:proofErr w:type="gramEnd"/>
      <w:r w:rsidRPr="009A600B">
        <w:rPr>
          <w:rFonts w:ascii="Times New Roman" w:eastAsia="Times New Roman" w:hAnsi="Times New Roman" w:cs="Times New Roman"/>
          <w:sz w:val="24"/>
          <w:szCs w:val="24"/>
          <w:lang w:eastAsia="ru-RU"/>
        </w:rPr>
        <w:t xml:space="preserve">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lastRenderedPageBreak/>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в аукционную документацию дополнительно иные сведения. Изменения, вносимые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w:t>
      </w:r>
      <w:r w:rsidRPr="009A600B">
        <w:rPr>
          <w:rFonts w:ascii="Times New Roman" w:eastAsia="Times New Roman" w:hAnsi="Times New Roman" w:cs="Times New Roman"/>
          <w:sz w:val="24"/>
          <w:szCs w:val="24"/>
          <w:lang w:eastAsia="ru-RU"/>
        </w:rPr>
        <w:lastRenderedPageBreak/>
        <w:t>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10.13. Аукционные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11.6</w:t>
      </w:r>
      <w:proofErr w:type="gramStart"/>
      <w:r w:rsidRPr="009A600B">
        <w:rPr>
          <w:rFonts w:ascii="Times New Roman" w:eastAsia="Times New Roman" w:hAnsi="Times New Roman" w:cs="Times New Roman"/>
          <w:sz w:val="24"/>
          <w:szCs w:val="24"/>
          <w:lang w:eastAsia="ru-RU"/>
        </w:rPr>
        <w:t xml:space="preserve"> Н</w:t>
      </w:r>
      <w:proofErr w:type="gramEnd"/>
      <w:r w:rsidRPr="009A600B">
        <w:rPr>
          <w:rFonts w:ascii="Times New Roman" w:eastAsia="Times New Roman" w:hAnsi="Times New Roman" w:cs="Times New Roman"/>
          <w:sz w:val="24"/>
          <w:szCs w:val="24"/>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11.18. </w:t>
      </w:r>
      <w:proofErr w:type="gramStart"/>
      <w:r w:rsidRPr="009A600B">
        <w:rPr>
          <w:rFonts w:ascii="Times New Roman" w:eastAsia="Times New Roman" w:hAnsi="Times New Roman" w:cs="Times New Roman"/>
          <w:color w:val="000000"/>
          <w:sz w:val="24"/>
          <w:szCs w:val="24"/>
          <w:lang w:eastAsia="ru-RU"/>
        </w:rPr>
        <w:t>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11.27.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w:t>
      </w:r>
      <w:r w:rsidRPr="009A600B">
        <w:rPr>
          <w:rFonts w:ascii="Times New Roman" w:eastAsia="Times New Roman" w:hAnsi="Times New Roman" w:cs="Times New Roman"/>
          <w:color w:val="000000"/>
          <w:sz w:val="24"/>
          <w:szCs w:val="24"/>
          <w:lang w:eastAsia="ru-RU"/>
        </w:rPr>
        <w:lastRenderedPageBreak/>
        <w:t>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w:t>
      </w:r>
      <w:proofErr w:type="gramEnd"/>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12.14. Тендерные заявки вскрываются на </w:t>
      </w:r>
      <w:proofErr w:type="gramStart"/>
      <w:r w:rsidRPr="009A600B">
        <w:rPr>
          <w:rFonts w:ascii="Times New Roman" w:eastAsia="Times New Roman" w:hAnsi="Times New Roman" w:cs="Times New Roman"/>
          <w:sz w:val="24"/>
          <w:szCs w:val="24"/>
          <w:lang w:eastAsia="ru-RU"/>
        </w:rPr>
        <w:t>заседании</w:t>
      </w:r>
      <w:proofErr w:type="gramEnd"/>
      <w:r w:rsidRPr="009A600B">
        <w:rPr>
          <w:rFonts w:ascii="Times New Roman" w:eastAsia="Times New Roman" w:hAnsi="Times New Roman" w:cs="Times New Roman"/>
          <w:sz w:val="24"/>
          <w:szCs w:val="24"/>
          <w:lang w:eastAsia="ru-RU"/>
        </w:rPr>
        <w:t xml:space="preserve">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Глава 13. Запрос ценовых предложений</w:t>
      </w:r>
      <w:bookmarkEnd w:id="31"/>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ценовых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w:t>
      </w:r>
      <w:r w:rsidRPr="009A600B">
        <w:rPr>
          <w:rFonts w:ascii="Times New Roman" w:eastAsia="Times New Roman" w:hAnsi="Times New Roman" w:cs="Times New Roman"/>
          <w:sz w:val="24"/>
          <w:szCs w:val="24"/>
          <w:lang w:eastAsia="ru-RU"/>
        </w:rPr>
        <w:lastRenderedPageBreak/>
        <w:t>Запрос предложений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w:t>
      </w:r>
      <w:proofErr w:type="gramStart"/>
      <w:r w:rsidRPr="009A600B">
        <w:rPr>
          <w:rFonts w:ascii="Times New Roman" w:eastAsia="Times New Roman" w:hAnsi="Times New Roman" w:cs="Times New Roman"/>
          <w:sz w:val="24"/>
          <w:szCs w:val="24"/>
          <w:lang w:eastAsia="ru-RU"/>
        </w:rPr>
        <w:t>Не допустимо</w:t>
      </w:r>
      <w:proofErr w:type="gramEnd"/>
      <w:r w:rsidRPr="009A600B">
        <w:rPr>
          <w:rFonts w:ascii="Times New Roman" w:eastAsia="Times New Roman" w:hAnsi="Times New Roman" w:cs="Times New Roman"/>
          <w:sz w:val="24"/>
          <w:szCs w:val="24"/>
          <w:lang w:eastAsia="ru-RU"/>
        </w:rPr>
        <w:t xml:space="preserve"> отклонение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14.11.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15.9. Решение Закупочной комиссии оформляется протоколом, в котором указываются два поставщика, предложения которых получили высшую оценку. </w:t>
      </w:r>
      <w:proofErr w:type="gramStart"/>
      <w:r w:rsidRPr="009A600B">
        <w:rPr>
          <w:rFonts w:ascii="Times New Roman" w:eastAsia="Times New Roman" w:hAnsi="Times New Roman" w:cs="Times New Roman"/>
          <w:sz w:val="24"/>
          <w:szCs w:val="24"/>
          <w:lang w:eastAsia="ru-RU"/>
        </w:rPr>
        <w:t>Выигравшей</w:t>
      </w:r>
      <w:proofErr w:type="gramEnd"/>
      <w:r w:rsidRPr="009A600B">
        <w:rPr>
          <w:rFonts w:ascii="Times New Roman" w:eastAsia="Times New Roman" w:hAnsi="Times New Roman" w:cs="Times New Roman"/>
          <w:sz w:val="24"/>
          <w:szCs w:val="24"/>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15.10.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w:t>
      </w:r>
      <w:proofErr w:type="gramStart"/>
      <w:r w:rsidRPr="00D551E8">
        <w:rPr>
          <w:rFonts w:ascii="Times New Roman" w:eastAsia="Times New Roman" w:hAnsi="Times New Roman" w:cs="Times New Roman"/>
          <w:sz w:val="24"/>
          <w:szCs w:val="24"/>
          <w:lang w:eastAsia="ru-RU"/>
        </w:rPr>
        <w:t>от</w:t>
      </w:r>
      <w:proofErr w:type="gramEnd"/>
      <w:r w:rsidRPr="00D551E8">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lastRenderedPageBreak/>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097E84">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10"/>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8D" w:rsidRDefault="00306A8D">
      <w:pPr>
        <w:spacing w:after="0" w:line="240" w:lineRule="auto"/>
      </w:pPr>
      <w:r>
        <w:separator/>
      </w:r>
    </w:p>
  </w:endnote>
  <w:endnote w:type="continuationSeparator" w:id="0">
    <w:p w:rsidR="00306A8D" w:rsidRDefault="0030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52" w:rsidRDefault="00E85852">
    <w:pPr>
      <w:pStyle w:val="af0"/>
      <w:jc w:val="center"/>
    </w:pPr>
    <w:r>
      <w:fldChar w:fldCharType="begin"/>
    </w:r>
    <w:r>
      <w:instrText>PAGE   \* MERGEFORMAT</w:instrText>
    </w:r>
    <w:r>
      <w:fldChar w:fldCharType="separate"/>
    </w:r>
    <w:r w:rsidR="00C60E69">
      <w:rPr>
        <w:noProof/>
      </w:rPr>
      <w:t>6</w:t>
    </w:r>
    <w:r>
      <w:fldChar w:fldCharType="end"/>
    </w:r>
  </w:p>
  <w:p w:rsidR="00E85852" w:rsidRDefault="00E858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8D" w:rsidRDefault="00306A8D">
      <w:pPr>
        <w:spacing w:after="0" w:line="240" w:lineRule="auto"/>
      </w:pPr>
      <w:r>
        <w:separator/>
      </w:r>
    </w:p>
  </w:footnote>
  <w:footnote w:type="continuationSeparator" w:id="0">
    <w:p w:rsidR="00306A8D" w:rsidRDefault="00306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10A98"/>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97E84"/>
    <w:rsid w:val="000D398A"/>
    <w:rsid w:val="000E1176"/>
    <w:rsid w:val="000E1D9B"/>
    <w:rsid w:val="000E2BFA"/>
    <w:rsid w:val="000F3B4F"/>
    <w:rsid w:val="001162DE"/>
    <w:rsid w:val="001525BA"/>
    <w:rsid w:val="001549DE"/>
    <w:rsid w:val="00155EBA"/>
    <w:rsid w:val="0016294A"/>
    <w:rsid w:val="001969DC"/>
    <w:rsid w:val="001F40CC"/>
    <w:rsid w:val="001F7406"/>
    <w:rsid w:val="00204B72"/>
    <w:rsid w:val="0022348B"/>
    <w:rsid w:val="002452B9"/>
    <w:rsid w:val="002477F4"/>
    <w:rsid w:val="00252833"/>
    <w:rsid w:val="002760A5"/>
    <w:rsid w:val="0028522B"/>
    <w:rsid w:val="002D25ED"/>
    <w:rsid w:val="002F6598"/>
    <w:rsid w:val="002F6DB7"/>
    <w:rsid w:val="00306A8D"/>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7195E"/>
    <w:rsid w:val="00475416"/>
    <w:rsid w:val="00516736"/>
    <w:rsid w:val="005277F1"/>
    <w:rsid w:val="005442EA"/>
    <w:rsid w:val="005631E0"/>
    <w:rsid w:val="005769A2"/>
    <w:rsid w:val="0058432B"/>
    <w:rsid w:val="00586B6A"/>
    <w:rsid w:val="005A4DA3"/>
    <w:rsid w:val="005D00EE"/>
    <w:rsid w:val="006417C9"/>
    <w:rsid w:val="00643EF5"/>
    <w:rsid w:val="006576E9"/>
    <w:rsid w:val="00666A4A"/>
    <w:rsid w:val="0069510C"/>
    <w:rsid w:val="006A69F6"/>
    <w:rsid w:val="006D0312"/>
    <w:rsid w:val="006D22C5"/>
    <w:rsid w:val="006D3A6F"/>
    <w:rsid w:val="006E2040"/>
    <w:rsid w:val="006F3F5D"/>
    <w:rsid w:val="00700E35"/>
    <w:rsid w:val="007372B2"/>
    <w:rsid w:val="0074680D"/>
    <w:rsid w:val="00771620"/>
    <w:rsid w:val="007D3A28"/>
    <w:rsid w:val="0081042D"/>
    <w:rsid w:val="0081684B"/>
    <w:rsid w:val="00843118"/>
    <w:rsid w:val="00856EE5"/>
    <w:rsid w:val="008752AE"/>
    <w:rsid w:val="008775FB"/>
    <w:rsid w:val="008C0823"/>
    <w:rsid w:val="008C1BEA"/>
    <w:rsid w:val="008D7320"/>
    <w:rsid w:val="008E0E0D"/>
    <w:rsid w:val="00903A31"/>
    <w:rsid w:val="00911510"/>
    <w:rsid w:val="0091270D"/>
    <w:rsid w:val="009134FF"/>
    <w:rsid w:val="00924F4C"/>
    <w:rsid w:val="00951367"/>
    <w:rsid w:val="0096615E"/>
    <w:rsid w:val="00996BA7"/>
    <w:rsid w:val="009A4E74"/>
    <w:rsid w:val="009A600B"/>
    <w:rsid w:val="009C0EEE"/>
    <w:rsid w:val="009D0DA1"/>
    <w:rsid w:val="009D63CD"/>
    <w:rsid w:val="009E1423"/>
    <w:rsid w:val="009E649E"/>
    <w:rsid w:val="00A05C7B"/>
    <w:rsid w:val="00A36029"/>
    <w:rsid w:val="00A51401"/>
    <w:rsid w:val="00A56CB6"/>
    <w:rsid w:val="00A57BAA"/>
    <w:rsid w:val="00A80857"/>
    <w:rsid w:val="00A8504B"/>
    <w:rsid w:val="00A905C7"/>
    <w:rsid w:val="00AB5B53"/>
    <w:rsid w:val="00B0616B"/>
    <w:rsid w:val="00B40FB7"/>
    <w:rsid w:val="00B74794"/>
    <w:rsid w:val="00B8388F"/>
    <w:rsid w:val="00B87C01"/>
    <w:rsid w:val="00B948F4"/>
    <w:rsid w:val="00BA6EBA"/>
    <w:rsid w:val="00BC2850"/>
    <w:rsid w:val="00BF43E8"/>
    <w:rsid w:val="00C05A21"/>
    <w:rsid w:val="00C14B1A"/>
    <w:rsid w:val="00C15B2A"/>
    <w:rsid w:val="00C15DE6"/>
    <w:rsid w:val="00C43F84"/>
    <w:rsid w:val="00C45991"/>
    <w:rsid w:val="00C50534"/>
    <w:rsid w:val="00C60E69"/>
    <w:rsid w:val="00C74F62"/>
    <w:rsid w:val="00C972D8"/>
    <w:rsid w:val="00CA6895"/>
    <w:rsid w:val="00CC64C2"/>
    <w:rsid w:val="00CD4AB2"/>
    <w:rsid w:val="00CD6626"/>
    <w:rsid w:val="00CE2C6E"/>
    <w:rsid w:val="00D0674E"/>
    <w:rsid w:val="00D4414B"/>
    <w:rsid w:val="00D551E8"/>
    <w:rsid w:val="00DC3277"/>
    <w:rsid w:val="00DE3BDA"/>
    <w:rsid w:val="00E24C02"/>
    <w:rsid w:val="00E63429"/>
    <w:rsid w:val="00E85852"/>
    <w:rsid w:val="00E9058F"/>
    <w:rsid w:val="00E907F1"/>
    <w:rsid w:val="00E90B4F"/>
    <w:rsid w:val="00E90F6B"/>
    <w:rsid w:val="00E97B87"/>
    <w:rsid w:val="00EA087D"/>
    <w:rsid w:val="00EA0F7E"/>
    <w:rsid w:val="00EA11CC"/>
    <w:rsid w:val="00EA629E"/>
    <w:rsid w:val="00EB2551"/>
    <w:rsid w:val="00F11851"/>
    <w:rsid w:val="00F25BD8"/>
    <w:rsid w:val="00F420DC"/>
    <w:rsid w:val="00F4618E"/>
    <w:rsid w:val="00F521D0"/>
    <w:rsid w:val="00F755BF"/>
    <w:rsid w:val="00F85BD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val="x-none" w:eastAsia="x-none"/>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lang w:val="x-none" w:eastAsia="x-none"/>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15122</Words>
  <Characters>86197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23</cp:revision>
  <cp:lastPrinted>2013-08-15T04:59:00Z</cp:lastPrinted>
  <dcterms:created xsi:type="dcterms:W3CDTF">2012-12-24T10:55:00Z</dcterms:created>
  <dcterms:modified xsi:type="dcterms:W3CDTF">2013-12-04T06:30:00Z</dcterms:modified>
</cp:coreProperties>
</file>