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drawings/drawing2.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3.xml" ContentType="application/vnd.openxmlformats-officedocument.drawingml.chartshapes+xml"/>
  <Override PartName="/word/charts/chart13.xml" ContentType="application/vnd.openxmlformats-officedocument.drawingml.chart+xml"/>
  <Override PartName="/word/drawings/drawing4.xml" ContentType="application/vnd.openxmlformats-officedocument.drawingml.chartshapes+xml"/>
  <Override PartName="/word/charts/chart14.xml" ContentType="application/vnd.openxmlformats-officedocument.drawingml.chart+xml"/>
  <Override PartName="/word/drawings/drawing5.xml" ContentType="application/vnd.openxmlformats-officedocument.drawingml.chartshapes+xml"/>
  <Override PartName="/word/charts/chart15.xml" ContentType="application/vnd.openxmlformats-officedocument.drawingml.chart+xml"/>
  <Override PartName="/word/theme/themeOverride12.xml" ContentType="application/vnd.openxmlformats-officedocument.themeOverride+xml"/>
  <Override PartName="/word/drawings/drawing6.xml" ContentType="application/vnd.openxmlformats-officedocument.drawingml.chartshapes+xml"/>
  <Override PartName="/word/charts/chart16.xml" ContentType="application/vnd.openxmlformats-officedocument.drawingml.chart+xml"/>
  <Override PartName="/word/theme/themeOverride13.xml" ContentType="application/vnd.openxmlformats-officedocument.themeOverride+xml"/>
  <Override PartName="/word/drawings/drawing7.xml" ContentType="application/vnd.openxmlformats-officedocument.drawingml.chartshapes+xml"/>
  <Override PartName="/word/charts/chart17.xml" ContentType="application/vnd.openxmlformats-officedocument.drawingml.chart+xml"/>
  <Override PartName="/word/theme/themeOverride14.xml" ContentType="application/vnd.openxmlformats-officedocument.themeOverride+xml"/>
  <Override PartName="/word/drawings/drawing8.xml" ContentType="application/vnd.openxmlformats-officedocument.drawingml.chartshapes+xml"/>
  <Override PartName="/word/charts/chart18.xml" ContentType="application/vnd.openxmlformats-officedocument.drawingml.chart+xml"/>
  <Override PartName="/word/drawings/drawing9.xml" ContentType="application/vnd.openxmlformats-officedocument.drawingml.chartshapes+xml"/>
  <Override PartName="/word/charts/chart19.xml" ContentType="application/vnd.openxmlformats-officedocument.drawingml.chart+xml"/>
  <Override PartName="/word/theme/themeOverride15.xml" ContentType="application/vnd.openxmlformats-officedocument.themeOverride+xml"/>
  <Override PartName="/word/drawings/drawing10.xml" ContentType="application/vnd.openxmlformats-officedocument.drawingml.chartshapes+xml"/>
  <Override PartName="/word/charts/chart20.xml" ContentType="application/vnd.openxmlformats-officedocument.drawingml.chart+xml"/>
  <Override PartName="/word/theme/themeOverride16.xml" ContentType="application/vnd.openxmlformats-officedocument.themeOverride+xml"/>
  <Override PartName="/word/drawings/drawing11.xml" ContentType="application/vnd.openxmlformats-officedocument.drawingml.chartshapes+xml"/>
  <Override PartName="/word/charts/chart21.xml" ContentType="application/vnd.openxmlformats-officedocument.drawingml.chart+xml"/>
  <Override PartName="/word/charts/chart22.xml" ContentType="application/vnd.openxmlformats-officedocument.drawingml.chart+xml"/>
  <Override PartName="/word/drawings/drawing12.xml" ContentType="application/vnd.openxmlformats-officedocument.drawingml.chartshapes+xml"/>
  <Override PartName="/word/charts/chart23.xml" ContentType="application/vnd.openxmlformats-officedocument.drawingml.chart+xml"/>
  <Override PartName="/word/theme/themeOverride17.xml" ContentType="application/vnd.openxmlformats-officedocument.themeOverride+xml"/>
  <Override PartName="/word/drawings/drawing13.xml" ContentType="application/vnd.openxmlformats-officedocument.drawingml.chartshapes+xml"/>
  <Override PartName="/word/charts/chart24.xml" ContentType="application/vnd.openxmlformats-officedocument.drawingml.chart+xml"/>
  <Override PartName="/word/theme/themeOverride18.xml" ContentType="application/vnd.openxmlformats-officedocument.themeOverrid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drawings/drawing14.xml" ContentType="application/vnd.openxmlformats-officedocument.drawingml.chartshapes+xml"/>
  <Override PartName="/word/charts/chart28.xml" ContentType="application/vnd.openxmlformats-officedocument.drawingml.chart+xml"/>
  <Override PartName="/word/theme/themeOverride22.xml" ContentType="application/vnd.openxmlformats-officedocument.themeOverride+xml"/>
  <Override PartName="/word/drawings/drawing15.xml" ContentType="application/vnd.openxmlformats-officedocument.drawingml.chartshapes+xml"/>
  <Override PartName="/word/charts/chart29.xml" ContentType="application/vnd.openxmlformats-officedocument.drawingml.chart+xml"/>
  <Override PartName="/word/theme/themeOverride23.xml" ContentType="application/vnd.openxmlformats-officedocument.themeOverride+xml"/>
  <Override PartName="/word/drawings/drawing16.xml" ContentType="application/vnd.openxmlformats-officedocument.drawingml.chartshapes+xml"/>
  <Override PartName="/word/charts/chart30.xml" ContentType="application/vnd.openxmlformats-officedocument.drawingml.chart+xml"/>
  <Override PartName="/word/theme/themeOverride24.xml" ContentType="application/vnd.openxmlformats-officedocument.themeOverride+xml"/>
  <Override PartName="/word/charts/chart31.xml" ContentType="application/vnd.openxmlformats-officedocument.drawingml.chart+xml"/>
  <Override PartName="/word/theme/themeOverride25.xml" ContentType="application/vnd.openxmlformats-officedocument.themeOverride+xml"/>
  <Override PartName="/word/charts/chart32.xml" ContentType="application/vnd.openxmlformats-officedocument.drawingml.chart+xml"/>
  <Override PartName="/word/theme/themeOverride26.xml" ContentType="application/vnd.openxmlformats-officedocument.themeOverride+xml"/>
  <Override PartName="/word/drawings/drawing17.xml" ContentType="application/vnd.openxmlformats-officedocument.drawingml.chartshapes+xml"/>
  <Override PartName="/word/charts/chart33.xml" ContentType="application/vnd.openxmlformats-officedocument.drawingml.chart+xml"/>
  <Override PartName="/word/charts/chart34.xml" ContentType="application/vnd.openxmlformats-officedocument.drawingml.chart+xml"/>
  <Override PartName="/word/theme/themeOverride27.xml" ContentType="application/vnd.openxmlformats-officedocument.themeOverride+xml"/>
  <Override PartName="/word/charts/chart35.xml" ContentType="application/vnd.openxmlformats-officedocument.drawingml.chart+xml"/>
  <Override PartName="/word/theme/themeOverride28.xml" ContentType="application/vnd.openxmlformats-officedocument.themeOverride+xml"/>
  <Override PartName="/word/charts/chart36.xml" ContentType="application/vnd.openxmlformats-officedocument.drawingml.chart+xml"/>
  <Override PartName="/word/theme/themeOverride29.xml" ContentType="application/vnd.openxmlformats-officedocument.themeOverride+xml"/>
  <Override PartName="/word/charts/chart37.xml" ContentType="application/vnd.openxmlformats-officedocument.drawingml.chart+xml"/>
  <Override PartName="/word/theme/themeOverride30.xml" ContentType="application/vnd.openxmlformats-officedocument.themeOverride+xml"/>
  <Override PartName="/word/drawings/drawing18.xml" ContentType="application/vnd.openxmlformats-officedocument.drawingml.chartshapes+xml"/>
  <Override PartName="/word/charts/chart38.xml" ContentType="application/vnd.openxmlformats-officedocument.drawingml.chart+xml"/>
  <Override PartName="/word/theme/themeOverride31.xml" ContentType="application/vnd.openxmlformats-officedocument.themeOverride+xml"/>
  <Override PartName="/word/drawings/drawing19.xml" ContentType="application/vnd.openxmlformats-officedocument.drawingml.chartshapes+xml"/>
  <Override PartName="/word/charts/chart39.xml" ContentType="application/vnd.openxmlformats-officedocument.drawingml.chart+xml"/>
  <Override PartName="/word/theme/themeOverride32.xml" ContentType="application/vnd.openxmlformats-officedocument.themeOverride+xml"/>
  <Override PartName="/word/charts/chart40.xml" ContentType="application/vnd.openxmlformats-officedocument.drawingml.chart+xml"/>
  <Override PartName="/word/theme/themeOverride33.xml" ContentType="application/vnd.openxmlformats-officedocument.themeOverride+xml"/>
  <Override PartName="/word/drawings/drawing20.xml" ContentType="application/vnd.openxmlformats-officedocument.drawingml.chartshapes+xml"/>
  <Override PartName="/word/charts/chart41.xml" ContentType="application/vnd.openxmlformats-officedocument.drawingml.chart+xml"/>
  <Override PartName="/word/theme/themeOverride34.xml" ContentType="application/vnd.openxmlformats-officedocument.themeOverride+xml"/>
  <Override PartName="/word/drawings/drawing21.xml" ContentType="application/vnd.openxmlformats-officedocument.drawingml.chartshapes+xml"/>
  <Override PartName="/word/charts/chart42.xml" ContentType="application/vnd.openxmlformats-officedocument.drawingml.chart+xml"/>
  <Override PartName="/word/theme/themeOverride35.xml" ContentType="application/vnd.openxmlformats-officedocument.themeOverride+xml"/>
  <Override PartName="/word/charts/chart43.xml" ContentType="application/vnd.openxmlformats-officedocument.drawingml.chart+xml"/>
  <Override PartName="/word/theme/themeOverride36.xml" ContentType="application/vnd.openxmlformats-officedocument.themeOverride+xml"/>
  <Override PartName="/word/charts/chart44.xml" ContentType="application/vnd.openxmlformats-officedocument.drawingml.chart+xml"/>
  <Override PartName="/word/theme/themeOverride37.xml" ContentType="application/vnd.openxmlformats-officedocument.themeOverride+xml"/>
  <Override PartName="/word/charts/chart45.xml" ContentType="application/vnd.openxmlformats-officedocument.drawingml.chart+xml"/>
  <Override PartName="/word/theme/themeOverride38.xml" ContentType="application/vnd.openxmlformats-officedocument.themeOverride+xml"/>
  <Override PartName="/word/drawings/drawing2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650" w:rsidRPr="001F0139" w:rsidRDefault="00443650" w:rsidP="001F0139">
      <w:pPr>
        <w:pStyle w:val="10"/>
        <w:keepNext/>
        <w:keepLines/>
        <w:shd w:val="clear" w:color="auto" w:fill="auto"/>
        <w:spacing w:after="0" w:line="360" w:lineRule="auto"/>
        <w:ind w:firstLine="0"/>
        <w:rPr>
          <w:color w:val="365F91" w:themeColor="accent1" w:themeShade="BF"/>
        </w:rPr>
      </w:pPr>
      <w:bookmarkStart w:id="0" w:name="bookmark0"/>
      <w:r w:rsidRPr="001F0139">
        <w:rPr>
          <w:noProof/>
          <w:color w:val="365F91" w:themeColor="accent1" w:themeShade="BF"/>
          <w:lang w:eastAsia="ru-RU"/>
        </w:rPr>
        <w:drawing>
          <wp:inline distT="0" distB="0" distL="0" distR="0">
            <wp:extent cx="792088" cy="1187624"/>
            <wp:effectExtent l="19050" t="0" r="8012" b="0"/>
            <wp:docPr id="1" name="Рисунок 1" descr="http://storage.inovaco.ru/media/project_mo_159/b0/b3/71/f3/33/bc/kamadmru.jpg"/>
            <wp:cNvGraphicFramePr/>
            <a:graphic xmlns:a="http://schemas.openxmlformats.org/drawingml/2006/main">
              <a:graphicData uri="http://schemas.openxmlformats.org/drawingml/2006/picture">
                <pic:pic xmlns:pic="http://schemas.openxmlformats.org/drawingml/2006/picture">
                  <pic:nvPicPr>
                    <pic:cNvPr id="13" name="Рисунок 12" descr="http://storage.inovaco.ru/media/project_mo_159/b0/b3/71/f3/33/bc/kamadmru.jpg"/>
                    <pic:cNvPicPr/>
                  </pic:nvPicPr>
                  <pic:blipFill>
                    <a:blip r:embed="rId7" cstate="print"/>
                    <a:srcRect t="2414" b="4762"/>
                    <a:stretch>
                      <a:fillRect/>
                    </a:stretch>
                  </pic:blipFill>
                  <pic:spPr bwMode="auto">
                    <a:xfrm>
                      <a:off x="0" y="0"/>
                      <a:ext cx="792088" cy="1187624"/>
                    </a:xfrm>
                    <a:prstGeom prst="rect">
                      <a:avLst/>
                    </a:prstGeom>
                    <a:noFill/>
                    <a:ln w="9525">
                      <a:noFill/>
                      <a:miter lim="800000"/>
                      <a:headEnd/>
                      <a:tailEnd/>
                    </a:ln>
                  </pic:spPr>
                </pic:pic>
              </a:graphicData>
            </a:graphic>
          </wp:inline>
        </w:drawing>
      </w:r>
    </w:p>
    <w:p w:rsidR="00443650" w:rsidRPr="001F0139" w:rsidRDefault="00443650" w:rsidP="001F0139">
      <w:pPr>
        <w:pStyle w:val="10"/>
        <w:keepNext/>
        <w:keepLines/>
        <w:shd w:val="clear" w:color="auto" w:fill="auto"/>
        <w:spacing w:after="0" w:line="360" w:lineRule="auto"/>
        <w:ind w:firstLine="0"/>
        <w:rPr>
          <w:color w:val="365F91" w:themeColor="accent1" w:themeShade="BF"/>
        </w:rPr>
      </w:pPr>
    </w:p>
    <w:p w:rsidR="00443650" w:rsidRPr="001F0139" w:rsidRDefault="00443650" w:rsidP="001F0139">
      <w:pPr>
        <w:spacing w:after="0" w:line="240" w:lineRule="auto"/>
        <w:jc w:val="center"/>
        <w:rPr>
          <w:rFonts w:ascii="Times New Roman" w:hAnsi="Times New Roman" w:cs="Times New Roman"/>
          <w:b/>
          <w:color w:val="C00000"/>
          <w:sz w:val="36"/>
          <w:szCs w:val="36"/>
        </w:rPr>
      </w:pPr>
      <w:r w:rsidRPr="001F0139">
        <w:rPr>
          <w:rFonts w:ascii="Times New Roman" w:hAnsi="Times New Roman" w:cs="Times New Roman"/>
          <w:b/>
          <w:color w:val="C00000"/>
          <w:sz w:val="36"/>
          <w:szCs w:val="36"/>
        </w:rPr>
        <w:t>СТРАТЕГИ</w:t>
      </w:r>
      <w:r w:rsidR="00A95D87">
        <w:rPr>
          <w:rFonts w:ascii="Times New Roman" w:hAnsi="Times New Roman" w:cs="Times New Roman"/>
          <w:b/>
          <w:color w:val="C00000"/>
          <w:sz w:val="36"/>
          <w:szCs w:val="36"/>
        </w:rPr>
        <w:t>Я</w:t>
      </w:r>
      <w:bookmarkStart w:id="1" w:name="_GoBack"/>
      <w:bookmarkEnd w:id="1"/>
    </w:p>
    <w:p w:rsidR="00443650" w:rsidRPr="001F0139" w:rsidRDefault="00443650" w:rsidP="001F0139">
      <w:pPr>
        <w:spacing w:after="0" w:line="240" w:lineRule="auto"/>
        <w:jc w:val="center"/>
        <w:rPr>
          <w:rFonts w:ascii="Times New Roman" w:hAnsi="Times New Roman" w:cs="Times New Roman"/>
          <w:b/>
          <w:color w:val="C00000"/>
          <w:sz w:val="36"/>
          <w:szCs w:val="36"/>
        </w:rPr>
      </w:pPr>
      <w:r w:rsidRPr="001F0139">
        <w:rPr>
          <w:rFonts w:ascii="Times New Roman" w:hAnsi="Times New Roman" w:cs="Times New Roman"/>
          <w:b/>
          <w:color w:val="C00000"/>
          <w:sz w:val="36"/>
          <w:szCs w:val="36"/>
        </w:rPr>
        <w:t xml:space="preserve">СОЦИАЛЬНО-ЭКОНОМИЧЕСКОГО РАЗВИТИЯ </w:t>
      </w:r>
    </w:p>
    <w:p w:rsidR="00443650" w:rsidRPr="001F0139" w:rsidRDefault="00443650" w:rsidP="001F0139">
      <w:pPr>
        <w:spacing w:after="0" w:line="240" w:lineRule="auto"/>
        <w:jc w:val="center"/>
        <w:rPr>
          <w:rFonts w:ascii="Times New Roman" w:hAnsi="Times New Roman" w:cs="Times New Roman"/>
          <w:b/>
          <w:color w:val="C00000"/>
          <w:sz w:val="36"/>
          <w:szCs w:val="36"/>
        </w:rPr>
      </w:pPr>
      <w:r w:rsidRPr="001F0139">
        <w:rPr>
          <w:rFonts w:ascii="Times New Roman" w:hAnsi="Times New Roman" w:cs="Times New Roman"/>
          <w:b/>
          <w:color w:val="C00000"/>
          <w:sz w:val="36"/>
          <w:szCs w:val="36"/>
        </w:rPr>
        <w:t>МУНИЦИПАЛЬНОГО РАЙОНА КАМЫШЛИНСКИЙ</w:t>
      </w:r>
    </w:p>
    <w:p w:rsidR="00443650" w:rsidRPr="001F0139" w:rsidRDefault="00443650" w:rsidP="001F0139">
      <w:pPr>
        <w:spacing w:after="0" w:line="240" w:lineRule="auto"/>
        <w:jc w:val="center"/>
        <w:rPr>
          <w:rFonts w:ascii="Times New Roman" w:hAnsi="Times New Roman" w:cs="Times New Roman"/>
          <w:b/>
          <w:color w:val="C00000"/>
          <w:sz w:val="36"/>
          <w:szCs w:val="36"/>
        </w:rPr>
      </w:pPr>
      <w:r w:rsidRPr="001F0139">
        <w:rPr>
          <w:rFonts w:ascii="Times New Roman" w:hAnsi="Times New Roman" w:cs="Times New Roman"/>
          <w:b/>
          <w:color w:val="C00000"/>
          <w:sz w:val="36"/>
          <w:szCs w:val="36"/>
        </w:rPr>
        <w:t>САМАРСКОЙ ОБЛАСТИ</w:t>
      </w:r>
    </w:p>
    <w:p w:rsidR="00443650" w:rsidRPr="001F0139" w:rsidRDefault="00443650" w:rsidP="001F0139">
      <w:pPr>
        <w:spacing w:after="0" w:line="240" w:lineRule="auto"/>
        <w:jc w:val="center"/>
        <w:rPr>
          <w:rFonts w:ascii="Times New Roman" w:hAnsi="Times New Roman" w:cs="Times New Roman"/>
          <w:b/>
          <w:color w:val="C00000"/>
          <w:sz w:val="36"/>
          <w:szCs w:val="36"/>
        </w:rPr>
      </w:pPr>
      <w:r w:rsidRPr="001F0139">
        <w:rPr>
          <w:rFonts w:ascii="Times New Roman" w:hAnsi="Times New Roman" w:cs="Times New Roman"/>
          <w:b/>
          <w:color w:val="C00000"/>
          <w:sz w:val="36"/>
          <w:szCs w:val="36"/>
        </w:rPr>
        <w:t>ДО 2030 ГОДА</w:t>
      </w:r>
    </w:p>
    <w:p w:rsidR="00443650" w:rsidRPr="001F0139" w:rsidRDefault="00443650" w:rsidP="001F0139">
      <w:pPr>
        <w:spacing w:after="0" w:line="240" w:lineRule="auto"/>
        <w:jc w:val="center"/>
        <w:rPr>
          <w:rFonts w:ascii="Times New Roman" w:hAnsi="Times New Roman" w:cs="Times New Roman"/>
          <w:b/>
          <w:color w:val="C00000"/>
          <w:sz w:val="36"/>
          <w:szCs w:val="36"/>
        </w:rPr>
      </w:pPr>
      <w:r w:rsidRPr="001F0139">
        <w:rPr>
          <w:rFonts w:ascii="Times New Roman" w:hAnsi="Times New Roman" w:cs="Times New Roman"/>
          <w:b/>
          <w:color w:val="C00000"/>
          <w:sz w:val="36"/>
          <w:szCs w:val="36"/>
        </w:rPr>
        <w:t>(рабочая версия)</w:t>
      </w:r>
    </w:p>
    <w:p w:rsidR="00443650" w:rsidRPr="001F0139" w:rsidRDefault="00443650" w:rsidP="001F0139">
      <w:pPr>
        <w:spacing w:after="0" w:line="240" w:lineRule="auto"/>
        <w:jc w:val="center"/>
        <w:rPr>
          <w:rFonts w:ascii="Times New Roman" w:hAnsi="Times New Roman" w:cs="Times New Roman"/>
          <w:b/>
          <w:color w:val="C00000"/>
          <w:sz w:val="36"/>
          <w:szCs w:val="36"/>
        </w:rPr>
      </w:pPr>
    </w:p>
    <w:p w:rsidR="00443650" w:rsidRPr="001F0139" w:rsidRDefault="00443650" w:rsidP="001F0139">
      <w:pPr>
        <w:spacing w:after="0" w:line="240" w:lineRule="auto"/>
        <w:jc w:val="center"/>
        <w:rPr>
          <w:rFonts w:ascii="Times New Roman" w:hAnsi="Times New Roman" w:cs="Times New Roman"/>
          <w:sz w:val="28"/>
          <w:szCs w:val="28"/>
        </w:rPr>
      </w:pPr>
    </w:p>
    <w:p w:rsidR="00443650" w:rsidRPr="001F0139" w:rsidRDefault="00443650" w:rsidP="001F0139">
      <w:pPr>
        <w:pStyle w:val="10"/>
        <w:keepNext/>
        <w:keepLines/>
        <w:shd w:val="clear" w:color="auto" w:fill="auto"/>
        <w:spacing w:after="0" w:line="360" w:lineRule="auto"/>
        <w:ind w:firstLine="0"/>
        <w:rPr>
          <w:color w:val="365F91" w:themeColor="accent1" w:themeShade="BF"/>
        </w:rPr>
      </w:pPr>
    </w:p>
    <w:p w:rsidR="00443650" w:rsidRPr="001F0139" w:rsidRDefault="00443650" w:rsidP="001F0139">
      <w:pPr>
        <w:pStyle w:val="10"/>
        <w:keepNext/>
        <w:keepLines/>
        <w:shd w:val="clear" w:color="auto" w:fill="auto"/>
        <w:spacing w:after="0" w:line="360" w:lineRule="auto"/>
        <w:ind w:firstLine="0"/>
        <w:jc w:val="center"/>
        <w:rPr>
          <w:color w:val="365F91" w:themeColor="accent1" w:themeShade="BF"/>
        </w:rPr>
      </w:pPr>
      <w:r w:rsidRPr="001F0139">
        <w:rPr>
          <w:noProof/>
          <w:color w:val="365F91" w:themeColor="accent1" w:themeShade="BF"/>
          <w:lang w:eastAsia="ru-RU"/>
        </w:rPr>
        <w:drawing>
          <wp:inline distT="0" distB="0" distL="0" distR="0">
            <wp:extent cx="2808312" cy="1638569"/>
            <wp:effectExtent l="19050" t="19050" r="11088" b="18781"/>
            <wp:docPr id="2" name="Рисунок 2" descr="ÐÐ°ÑÑÐ¸Ð½ÐºÐ¸ Ð¿Ð¾ Ð·Ð°Ð¿ÑÐ¾ÑÑ ÐÐ°Ð¼ÑÑÐ»Ð¸Ð½ÑÐºÐ¸Ð¹ ÑÐ°Ð¹Ð¾Ð½"/>
            <wp:cNvGraphicFramePr/>
            <a:graphic xmlns:a="http://schemas.openxmlformats.org/drawingml/2006/main">
              <a:graphicData uri="http://schemas.openxmlformats.org/drawingml/2006/picture">
                <pic:pic xmlns:pic="http://schemas.openxmlformats.org/drawingml/2006/picture">
                  <pic:nvPicPr>
                    <pic:cNvPr id="7172" name="Picture 4" descr="ÐÐ°ÑÑÐ¸Ð½ÐºÐ¸ Ð¿Ð¾ Ð·Ð°Ð¿ÑÐ¾ÑÑ ÐÐ°Ð¼ÑÑÐ»Ð¸Ð½ÑÐºÐ¸Ð¹ ÑÐ°Ð¹Ð¾Ð½"/>
                    <pic:cNvPicPr>
                      <a:picLocks noChangeAspect="1" noChangeArrowheads="1"/>
                    </pic:cNvPicPr>
                  </pic:nvPicPr>
                  <pic:blipFill>
                    <a:blip r:embed="rId8" cstate="print"/>
                    <a:srcRect r="12402"/>
                    <a:stretch>
                      <a:fillRect/>
                    </a:stretch>
                  </pic:blipFill>
                  <pic:spPr bwMode="auto">
                    <a:xfrm>
                      <a:off x="0" y="0"/>
                      <a:ext cx="2808312" cy="1638569"/>
                    </a:xfrm>
                    <a:prstGeom prst="rect">
                      <a:avLst/>
                    </a:prstGeom>
                    <a:noFill/>
                    <a:ln>
                      <a:solidFill>
                        <a:srgbClr val="008A3E"/>
                      </a:solidFill>
                    </a:ln>
                  </pic:spPr>
                </pic:pic>
              </a:graphicData>
            </a:graphic>
          </wp:inline>
        </w:drawing>
      </w:r>
      <w:r w:rsidRPr="001F0139">
        <w:rPr>
          <w:noProof/>
          <w:color w:val="365F91" w:themeColor="accent1" w:themeShade="BF"/>
          <w:lang w:eastAsia="ru-RU"/>
        </w:rPr>
        <w:drawing>
          <wp:inline distT="0" distB="0" distL="0" distR="0">
            <wp:extent cx="2343150" cy="1650207"/>
            <wp:effectExtent l="19050" t="0" r="0" b="0"/>
            <wp:docPr id="3" name="Рисунок 3" descr="ÐÐ°ÑÑÐ¸Ð½ÐºÐ¸ Ð¿Ð¾ Ð·Ð°Ð¿ÑÐ¾ÑÑ ÐºÐ°Ð¼ÑÑÐ»Ð¸Ð½ÑÐºÐ¸Ð¹ ÑÐ°Ð¹Ð¾Ð½ ÐºÐ¾Ð½Ð½ÑÐ¹ ÑÐ¿Ð¾ÑÑ"/>
            <wp:cNvGraphicFramePr/>
            <a:graphic xmlns:a="http://schemas.openxmlformats.org/drawingml/2006/main">
              <a:graphicData uri="http://schemas.openxmlformats.org/drawingml/2006/picture">
                <pic:pic xmlns:pic="http://schemas.openxmlformats.org/drawingml/2006/picture">
                  <pic:nvPicPr>
                    <pic:cNvPr id="43010" name="Picture 2" descr="ÐÐ°ÑÑÐ¸Ð½ÐºÐ¸ Ð¿Ð¾ Ð·Ð°Ð¿ÑÐ¾ÑÑ ÐºÐ°Ð¼ÑÑÐ»Ð¸Ð½ÑÐºÐ¸Ð¹ ÑÐ°Ð¹Ð¾Ð½ ÐºÐ¾Ð½Ð½ÑÐ¹ ÑÐ¿Ð¾ÑÑ"/>
                    <pic:cNvPicPr>
                      <a:picLocks noChangeAspect="1" noChangeArrowheads="1"/>
                    </pic:cNvPicPr>
                  </pic:nvPicPr>
                  <pic:blipFill>
                    <a:blip r:embed="rId9" cstate="print"/>
                    <a:srcRect/>
                    <a:stretch>
                      <a:fillRect/>
                    </a:stretch>
                  </pic:blipFill>
                  <pic:spPr bwMode="auto">
                    <a:xfrm>
                      <a:off x="0" y="0"/>
                      <a:ext cx="2348050" cy="1653658"/>
                    </a:xfrm>
                    <a:prstGeom prst="rect">
                      <a:avLst/>
                    </a:prstGeom>
                    <a:noFill/>
                  </pic:spPr>
                </pic:pic>
              </a:graphicData>
            </a:graphic>
          </wp:inline>
        </w:drawing>
      </w:r>
    </w:p>
    <w:p w:rsidR="00443650" w:rsidRPr="001F0139" w:rsidRDefault="00443650" w:rsidP="001F0139">
      <w:pPr>
        <w:pStyle w:val="10"/>
        <w:keepNext/>
        <w:keepLines/>
        <w:shd w:val="clear" w:color="auto" w:fill="auto"/>
        <w:spacing w:after="0" w:line="360" w:lineRule="auto"/>
        <w:ind w:firstLine="0"/>
        <w:rPr>
          <w:color w:val="365F91" w:themeColor="accent1" w:themeShade="BF"/>
        </w:rPr>
      </w:pPr>
    </w:p>
    <w:p w:rsidR="00443650" w:rsidRPr="001F0139" w:rsidRDefault="00443650" w:rsidP="001F0139">
      <w:pPr>
        <w:pStyle w:val="10"/>
        <w:keepNext/>
        <w:keepLines/>
        <w:shd w:val="clear" w:color="auto" w:fill="auto"/>
        <w:spacing w:after="0" w:line="360" w:lineRule="auto"/>
        <w:ind w:firstLine="0"/>
        <w:rPr>
          <w:color w:val="365F91" w:themeColor="accent1" w:themeShade="BF"/>
        </w:rPr>
      </w:pPr>
    </w:p>
    <w:p w:rsidR="00443650" w:rsidRPr="001F0139" w:rsidRDefault="00443650" w:rsidP="001F0139">
      <w:pPr>
        <w:pStyle w:val="10"/>
        <w:keepNext/>
        <w:keepLines/>
        <w:shd w:val="clear" w:color="auto" w:fill="auto"/>
        <w:spacing w:after="0" w:line="360" w:lineRule="auto"/>
        <w:ind w:firstLine="0"/>
        <w:rPr>
          <w:color w:val="365F91" w:themeColor="accent1" w:themeShade="BF"/>
        </w:rPr>
      </w:pPr>
    </w:p>
    <w:p w:rsidR="00443650" w:rsidRPr="001F0139" w:rsidRDefault="00443650" w:rsidP="001F0139">
      <w:pPr>
        <w:spacing w:after="0"/>
        <w:rPr>
          <w:rFonts w:ascii="Times New Roman" w:eastAsia="Times New Roman" w:hAnsi="Times New Roman" w:cs="Times New Roman"/>
          <w:b/>
          <w:bCs/>
          <w:color w:val="365F91" w:themeColor="accent1" w:themeShade="BF"/>
          <w:sz w:val="28"/>
          <w:szCs w:val="28"/>
        </w:rPr>
      </w:pPr>
      <w:r w:rsidRPr="001F0139">
        <w:rPr>
          <w:rFonts w:ascii="Times New Roman" w:hAnsi="Times New Roman" w:cs="Times New Roman"/>
          <w:color w:val="365F91" w:themeColor="accent1" w:themeShade="BF"/>
        </w:rPr>
        <w:br w:type="page"/>
      </w:r>
    </w:p>
    <w:p w:rsidR="008A6327" w:rsidRDefault="008A6327" w:rsidP="001F0139">
      <w:pPr>
        <w:pStyle w:val="10"/>
        <w:keepNext/>
        <w:keepLines/>
        <w:shd w:val="clear" w:color="auto" w:fill="auto"/>
        <w:spacing w:after="0" w:line="240" w:lineRule="auto"/>
        <w:ind w:firstLine="0"/>
        <w:rPr>
          <w:color w:val="365F91" w:themeColor="accent1" w:themeShade="BF"/>
        </w:rPr>
      </w:pPr>
      <w:r w:rsidRPr="001F0139">
        <w:rPr>
          <w:color w:val="365F91" w:themeColor="accent1" w:themeShade="BF"/>
        </w:rPr>
        <w:lastRenderedPageBreak/>
        <w:t>ОГЛАВЛЕНИЕ</w:t>
      </w:r>
    </w:p>
    <w:p w:rsidR="001F0139" w:rsidRPr="001F0139" w:rsidRDefault="001F0139" w:rsidP="001F0139">
      <w:pPr>
        <w:pStyle w:val="10"/>
        <w:keepNext/>
        <w:keepLines/>
        <w:shd w:val="clear" w:color="auto" w:fill="auto"/>
        <w:spacing w:after="0" w:line="240" w:lineRule="auto"/>
        <w:ind w:firstLine="0"/>
        <w:rPr>
          <w:color w:val="365F91" w:themeColor="accent1" w:themeShade="BF"/>
        </w:rPr>
      </w:pPr>
    </w:p>
    <w:p w:rsidR="008A6327" w:rsidRPr="001F0139" w:rsidRDefault="008A6327" w:rsidP="001F0139">
      <w:pPr>
        <w:pStyle w:val="10"/>
        <w:keepNext/>
        <w:keepLines/>
        <w:shd w:val="clear" w:color="auto" w:fill="auto"/>
        <w:spacing w:after="0" w:line="240" w:lineRule="auto"/>
        <w:ind w:firstLine="0"/>
      </w:pPr>
      <w:r w:rsidRPr="001F0139">
        <w:t>1.</w:t>
      </w:r>
      <w:r w:rsidR="001F0139">
        <w:t xml:space="preserve"> </w:t>
      </w:r>
      <w:r w:rsidRPr="001F0139">
        <w:t>ОБЩИЕ ПОЛОЖЕНИЯ</w:t>
      </w:r>
    </w:p>
    <w:p w:rsidR="008A6327" w:rsidRPr="001F0139" w:rsidRDefault="008A6327" w:rsidP="001F0139">
      <w:pPr>
        <w:pStyle w:val="10"/>
        <w:keepNext/>
        <w:keepLines/>
        <w:shd w:val="clear" w:color="auto" w:fill="auto"/>
        <w:spacing w:after="0" w:line="240" w:lineRule="auto"/>
        <w:ind w:firstLine="0"/>
      </w:pPr>
      <w:r w:rsidRPr="001F0139">
        <w:t>2.</w:t>
      </w:r>
      <w:r w:rsidR="001F0139">
        <w:t xml:space="preserve"> </w:t>
      </w:r>
      <w:r w:rsidRPr="001F0139">
        <w:t xml:space="preserve">МИССИЯ И </w:t>
      </w:r>
      <w:r w:rsidR="00633F69" w:rsidRPr="001F0139">
        <w:t xml:space="preserve">НАПРАВЛЕНИЯ </w:t>
      </w:r>
      <w:r w:rsidRPr="001F0139">
        <w:t>СОЦИАЛЬНО-ЭКОНОМИЧЕСКОГО РАЗВИТИЯ МУНИЦИПАЛЬНОГО РАЙОНА КАМЫШЛИНСКИЙ ДО 2030 ГОДА</w:t>
      </w:r>
    </w:p>
    <w:p w:rsidR="008A6327" w:rsidRPr="001F0139" w:rsidRDefault="008A6327" w:rsidP="001F0139">
      <w:pPr>
        <w:pStyle w:val="10"/>
        <w:keepNext/>
        <w:keepLines/>
        <w:shd w:val="clear" w:color="auto" w:fill="auto"/>
        <w:spacing w:after="0" w:line="240" w:lineRule="auto"/>
        <w:ind w:firstLine="0"/>
      </w:pPr>
      <w:r w:rsidRPr="001F0139">
        <w:t>3. ОСНОВНЫЕ СВЕДЕНИЯ И ОСОБЕННОСТИ ЭКОНОМИКО-ГЕОГРАФИЧЕСКОГО ПОЛОЖЕНИЯ</w:t>
      </w:r>
    </w:p>
    <w:p w:rsidR="008A6327" w:rsidRPr="001F0139" w:rsidRDefault="008A6327" w:rsidP="001F0139">
      <w:pPr>
        <w:spacing w:after="0" w:line="240" w:lineRule="auto"/>
        <w:jc w:val="both"/>
        <w:outlineLvl w:val="1"/>
        <w:rPr>
          <w:rFonts w:ascii="Times New Roman" w:hAnsi="Times New Roman" w:cs="Times New Roman"/>
          <w:b/>
          <w:sz w:val="28"/>
          <w:szCs w:val="28"/>
        </w:rPr>
      </w:pPr>
      <w:r w:rsidRPr="001F0139">
        <w:rPr>
          <w:rFonts w:ascii="Times New Roman" w:hAnsi="Times New Roman" w:cs="Times New Roman"/>
          <w:b/>
          <w:sz w:val="28"/>
          <w:szCs w:val="28"/>
        </w:rPr>
        <w:t>4.</w:t>
      </w:r>
      <w:r w:rsidR="001F0139">
        <w:rPr>
          <w:rFonts w:ascii="Times New Roman" w:hAnsi="Times New Roman" w:cs="Times New Roman"/>
          <w:b/>
          <w:sz w:val="28"/>
          <w:szCs w:val="28"/>
        </w:rPr>
        <w:t xml:space="preserve"> </w:t>
      </w:r>
      <w:r w:rsidRPr="001F0139">
        <w:rPr>
          <w:rFonts w:ascii="Times New Roman" w:hAnsi="Times New Roman" w:cs="Times New Roman"/>
          <w:b/>
          <w:sz w:val="28"/>
          <w:szCs w:val="28"/>
        </w:rPr>
        <w:t>АНАЛИЗ СИЛЬНЫХ И СЛАБЫХ СТОРОН, ВОЗМОЖНОСТЕЙ И УГРОЗ КАМЫШЛИНСКОГО МУНИЦИПАЛЬНОГО РАЙОНА</w:t>
      </w:r>
    </w:p>
    <w:p w:rsidR="008A6327" w:rsidRPr="001F0139" w:rsidRDefault="008A6327" w:rsidP="001F0139">
      <w:pPr>
        <w:tabs>
          <w:tab w:val="left" w:pos="851"/>
          <w:tab w:val="decimal" w:pos="1418"/>
        </w:tabs>
        <w:spacing w:after="0" w:line="240" w:lineRule="auto"/>
        <w:jc w:val="both"/>
        <w:outlineLvl w:val="1"/>
        <w:rPr>
          <w:rFonts w:ascii="Times New Roman" w:hAnsi="Times New Roman" w:cs="Times New Roman"/>
          <w:sz w:val="28"/>
          <w:szCs w:val="28"/>
        </w:rPr>
      </w:pPr>
      <w:r w:rsidRPr="001F0139">
        <w:rPr>
          <w:rFonts w:ascii="Times New Roman" w:hAnsi="Times New Roman" w:cs="Times New Roman"/>
          <w:sz w:val="28"/>
          <w:szCs w:val="28"/>
        </w:rPr>
        <w:t>4.1.</w:t>
      </w:r>
      <w:r w:rsidR="001F0139" w:rsidRPr="001F0139">
        <w:rPr>
          <w:rFonts w:ascii="Times New Roman" w:hAnsi="Times New Roman" w:cs="Times New Roman"/>
          <w:sz w:val="28"/>
          <w:szCs w:val="28"/>
        </w:rPr>
        <w:t xml:space="preserve"> </w:t>
      </w:r>
      <w:r w:rsidRPr="001F0139">
        <w:rPr>
          <w:rFonts w:ascii="Times New Roman" w:hAnsi="Times New Roman" w:cs="Times New Roman"/>
          <w:sz w:val="28"/>
          <w:szCs w:val="28"/>
        </w:rPr>
        <w:t>SWOT-анализ развития экономико-географического положения и природно-ресурсного потенциала</w:t>
      </w:r>
    </w:p>
    <w:p w:rsidR="008A6327" w:rsidRPr="001F0139" w:rsidRDefault="008A6327" w:rsidP="001F0139">
      <w:pPr>
        <w:tabs>
          <w:tab w:val="left" w:pos="851"/>
          <w:tab w:val="decimal" w:pos="1418"/>
        </w:tabs>
        <w:spacing w:after="0" w:line="240" w:lineRule="auto"/>
        <w:jc w:val="both"/>
        <w:outlineLvl w:val="1"/>
        <w:rPr>
          <w:rFonts w:ascii="Times New Roman" w:hAnsi="Times New Roman" w:cs="Times New Roman"/>
          <w:sz w:val="28"/>
          <w:szCs w:val="28"/>
        </w:rPr>
      </w:pPr>
      <w:r w:rsidRPr="001F0139">
        <w:rPr>
          <w:rFonts w:ascii="Times New Roman" w:hAnsi="Times New Roman" w:cs="Times New Roman"/>
          <w:sz w:val="28"/>
          <w:szCs w:val="28"/>
        </w:rPr>
        <w:t>4.2.</w:t>
      </w:r>
      <w:r w:rsidR="001F0139" w:rsidRPr="001F0139">
        <w:rPr>
          <w:rFonts w:ascii="Times New Roman" w:hAnsi="Times New Roman" w:cs="Times New Roman"/>
          <w:sz w:val="28"/>
          <w:szCs w:val="28"/>
        </w:rPr>
        <w:t xml:space="preserve"> </w:t>
      </w:r>
      <w:r w:rsidRPr="001F0139">
        <w:rPr>
          <w:rFonts w:ascii="Times New Roman" w:hAnsi="Times New Roman" w:cs="Times New Roman"/>
          <w:sz w:val="28"/>
          <w:szCs w:val="28"/>
        </w:rPr>
        <w:t>SWOT-анализ развития человеческого капитала</w:t>
      </w:r>
    </w:p>
    <w:p w:rsidR="008A6327" w:rsidRPr="001F0139" w:rsidRDefault="008A6327" w:rsidP="001F0139">
      <w:pPr>
        <w:tabs>
          <w:tab w:val="left" w:pos="851"/>
          <w:tab w:val="decimal" w:pos="1418"/>
        </w:tabs>
        <w:spacing w:after="0" w:line="240" w:lineRule="auto"/>
        <w:jc w:val="both"/>
        <w:outlineLvl w:val="1"/>
        <w:rPr>
          <w:rFonts w:ascii="Times New Roman" w:hAnsi="Times New Roman" w:cs="Times New Roman"/>
          <w:sz w:val="28"/>
          <w:szCs w:val="28"/>
        </w:rPr>
      </w:pPr>
      <w:r w:rsidRPr="001F0139">
        <w:rPr>
          <w:rFonts w:ascii="Times New Roman" w:hAnsi="Times New Roman" w:cs="Times New Roman"/>
          <w:sz w:val="28"/>
          <w:szCs w:val="28"/>
        </w:rPr>
        <w:t>4.3.</w:t>
      </w:r>
      <w:r w:rsidR="001F0139" w:rsidRPr="001F0139">
        <w:rPr>
          <w:rFonts w:ascii="Times New Roman" w:hAnsi="Times New Roman" w:cs="Times New Roman"/>
          <w:sz w:val="28"/>
          <w:szCs w:val="28"/>
        </w:rPr>
        <w:t xml:space="preserve"> </w:t>
      </w:r>
      <w:r w:rsidRPr="001F0139">
        <w:rPr>
          <w:rFonts w:ascii="Times New Roman" w:hAnsi="Times New Roman" w:cs="Times New Roman"/>
          <w:sz w:val="28"/>
          <w:szCs w:val="28"/>
        </w:rPr>
        <w:t>SWOT-анализ экономического развития и управления</w:t>
      </w:r>
    </w:p>
    <w:p w:rsidR="008A6327" w:rsidRPr="001F0139" w:rsidRDefault="008A6327" w:rsidP="001F0139">
      <w:pPr>
        <w:tabs>
          <w:tab w:val="left" w:pos="851"/>
          <w:tab w:val="decimal" w:pos="1418"/>
        </w:tabs>
        <w:spacing w:after="0" w:line="240" w:lineRule="auto"/>
        <w:jc w:val="both"/>
        <w:outlineLvl w:val="1"/>
        <w:rPr>
          <w:rFonts w:ascii="Times New Roman" w:hAnsi="Times New Roman" w:cs="Times New Roman"/>
          <w:sz w:val="28"/>
          <w:szCs w:val="28"/>
        </w:rPr>
      </w:pPr>
      <w:r w:rsidRPr="001F0139">
        <w:rPr>
          <w:rFonts w:ascii="Times New Roman" w:hAnsi="Times New Roman" w:cs="Times New Roman"/>
          <w:sz w:val="28"/>
          <w:szCs w:val="28"/>
        </w:rPr>
        <w:t>4.4.</w:t>
      </w:r>
      <w:r w:rsidR="001F0139" w:rsidRPr="001F0139">
        <w:rPr>
          <w:rFonts w:ascii="Times New Roman" w:hAnsi="Times New Roman" w:cs="Times New Roman"/>
          <w:sz w:val="28"/>
          <w:szCs w:val="28"/>
        </w:rPr>
        <w:t xml:space="preserve"> </w:t>
      </w:r>
      <w:r w:rsidRPr="001F0139">
        <w:rPr>
          <w:rFonts w:ascii="Times New Roman" w:hAnsi="Times New Roman" w:cs="Times New Roman"/>
          <w:sz w:val="28"/>
          <w:szCs w:val="28"/>
        </w:rPr>
        <w:t>SWOT-анализ ЖКХ и комфортной среды</w:t>
      </w:r>
    </w:p>
    <w:p w:rsidR="008A6327" w:rsidRPr="001F0139" w:rsidRDefault="008A6327" w:rsidP="001F0139">
      <w:pPr>
        <w:pStyle w:val="10"/>
        <w:keepNext/>
        <w:keepLines/>
        <w:shd w:val="clear" w:color="auto" w:fill="auto"/>
        <w:tabs>
          <w:tab w:val="left" w:pos="922"/>
        </w:tabs>
        <w:spacing w:after="0" w:line="240" w:lineRule="auto"/>
        <w:ind w:firstLine="0"/>
        <w:rPr>
          <w:rFonts w:eastAsiaTheme="minorHAnsi"/>
          <w:bCs w:val="0"/>
        </w:rPr>
      </w:pPr>
      <w:r w:rsidRPr="001F0139">
        <w:rPr>
          <w:rFonts w:eastAsiaTheme="minorHAnsi"/>
          <w:bCs w:val="0"/>
        </w:rPr>
        <w:t>5.</w:t>
      </w:r>
      <w:r w:rsidR="001F0139">
        <w:rPr>
          <w:rFonts w:eastAsiaTheme="minorHAnsi"/>
          <w:bCs w:val="0"/>
        </w:rPr>
        <w:t xml:space="preserve"> </w:t>
      </w:r>
      <w:r w:rsidRPr="001F0139">
        <w:rPr>
          <w:rFonts w:eastAsiaTheme="minorHAnsi"/>
          <w:bCs w:val="0"/>
        </w:rPr>
        <w:t xml:space="preserve">ПРИОРИТЕТЫ СОЦИАЛЬНО-ЭКОНОМИЧЕСКОГО РАЗВИТИЯ И СИСТЕМА ЦЕЛЕЙ КАМЫШЛИНСКОГО МУНИЦИПАЛЬНОГО РАЙОНА </w:t>
      </w:r>
    </w:p>
    <w:p w:rsidR="008A6327" w:rsidRPr="001F0139" w:rsidRDefault="008A6327" w:rsidP="001F0139">
      <w:pPr>
        <w:pStyle w:val="a3"/>
        <w:spacing w:after="0" w:line="240" w:lineRule="auto"/>
        <w:ind w:left="0"/>
        <w:contextualSpacing w:val="0"/>
        <w:jc w:val="both"/>
        <w:rPr>
          <w:rFonts w:ascii="Times New Roman" w:hAnsi="Times New Roman" w:cs="Times New Roman"/>
          <w:b/>
          <w:sz w:val="28"/>
          <w:szCs w:val="28"/>
        </w:rPr>
      </w:pPr>
      <w:r w:rsidRPr="001F0139">
        <w:rPr>
          <w:rFonts w:ascii="Times New Roman" w:hAnsi="Times New Roman" w:cs="Times New Roman"/>
          <w:b/>
          <w:sz w:val="28"/>
          <w:szCs w:val="28"/>
        </w:rPr>
        <w:t>6.</w:t>
      </w:r>
      <w:r w:rsidR="001F0139">
        <w:rPr>
          <w:rFonts w:ascii="Times New Roman" w:hAnsi="Times New Roman" w:cs="Times New Roman"/>
          <w:b/>
          <w:sz w:val="28"/>
          <w:szCs w:val="28"/>
        </w:rPr>
        <w:t xml:space="preserve"> </w:t>
      </w:r>
      <w:r w:rsidRPr="001F0139">
        <w:rPr>
          <w:rFonts w:ascii="Times New Roman" w:hAnsi="Times New Roman" w:cs="Times New Roman"/>
          <w:b/>
          <w:sz w:val="28"/>
          <w:szCs w:val="28"/>
        </w:rPr>
        <w:t>ФОРМИРОВАНИЕ, СОВЕРШЕНСТВОВАНИЕ И НАКОПЛЕНИЕ ЧЕЛОВЕЧЕСКОГО КАПИТАЛА</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t>6.1. Стратегическая диагностика</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t>6.2. Стратегические цели, задачи и ожидаемые результаты</w:t>
      </w:r>
      <w:r w:rsidR="002760F1">
        <w:rPr>
          <w:rFonts w:ascii="Times New Roman" w:hAnsi="Times New Roman" w:cs="Times New Roman"/>
          <w:sz w:val="28"/>
          <w:szCs w:val="28"/>
        </w:rPr>
        <w:t xml:space="preserve"> </w:t>
      </w:r>
      <w:r w:rsidRPr="001F0139">
        <w:rPr>
          <w:rFonts w:ascii="Times New Roman" w:hAnsi="Times New Roman" w:cs="Times New Roman"/>
          <w:sz w:val="28"/>
          <w:szCs w:val="28"/>
        </w:rPr>
        <w:t xml:space="preserve">направления «Формирование, совершенствование и накопление человеческого капитала». </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t>6.2.1.</w:t>
      </w:r>
      <w:r w:rsidR="001F0139">
        <w:rPr>
          <w:rFonts w:ascii="Times New Roman" w:hAnsi="Times New Roman" w:cs="Times New Roman"/>
          <w:sz w:val="28"/>
          <w:szCs w:val="28"/>
        </w:rPr>
        <w:t xml:space="preserve"> </w:t>
      </w:r>
      <w:r w:rsidRPr="001F0139">
        <w:rPr>
          <w:rFonts w:ascii="Times New Roman" w:hAnsi="Times New Roman" w:cs="Times New Roman"/>
          <w:sz w:val="28"/>
          <w:szCs w:val="28"/>
        </w:rPr>
        <w:t>Достижение современного, качественного образования в Камышлинском районе</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t>6.2.2. Обеспечение социализациии высоких образовательные достижений каждого школьника с учетом индивидуальных особенностей, развитие навыков в сфере цифровых технологий.</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t>6.2.3</w:t>
      </w:r>
      <w:r w:rsidR="001F0139">
        <w:rPr>
          <w:rFonts w:ascii="Times New Roman" w:hAnsi="Times New Roman" w:cs="Times New Roman"/>
          <w:sz w:val="28"/>
          <w:szCs w:val="28"/>
        </w:rPr>
        <w:t>.</w:t>
      </w:r>
      <w:r w:rsidRPr="001F0139">
        <w:rPr>
          <w:rFonts w:ascii="Times New Roman" w:hAnsi="Times New Roman" w:cs="Times New Roman"/>
          <w:sz w:val="28"/>
          <w:szCs w:val="28"/>
        </w:rPr>
        <w:t xml:space="preserve"> Развитие кадрового потенциала и инфраструктуры</w:t>
      </w:r>
      <w:r w:rsidR="002760F1">
        <w:rPr>
          <w:rFonts w:ascii="Times New Roman" w:hAnsi="Times New Roman" w:cs="Times New Roman"/>
          <w:sz w:val="28"/>
          <w:szCs w:val="28"/>
        </w:rPr>
        <w:t xml:space="preserve"> </w:t>
      </w:r>
      <w:r w:rsidRPr="001F0139">
        <w:rPr>
          <w:rFonts w:ascii="Times New Roman" w:hAnsi="Times New Roman" w:cs="Times New Roman"/>
          <w:sz w:val="28"/>
          <w:szCs w:val="28"/>
        </w:rPr>
        <w:t>системы образования, здравоохранения культуры и спорта в районе</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t>6.2.4.</w:t>
      </w:r>
      <w:r w:rsidR="001F0139">
        <w:rPr>
          <w:rFonts w:ascii="Times New Roman" w:hAnsi="Times New Roman" w:cs="Times New Roman"/>
          <w:sz w:val="28"/>
          <w:szCs w:val="28"/>
        </w:rPr>
        <w:t xml:space="preserve"> </w:t>
      </w:r>
      <w:r w:rsidRPr="001F0139">
        <w:rPr>
          <w:rFonts w:ascii="Times New Roman" w:hAnsi="Times New Roman" w:cs="Times New Roman"/>
          <w:sz w:val="28"/>
          <w:szCs w:val="28"/>
        </w:rPr>
        <w:t>Сохранение здоровья и продление долголетия</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t>6.2.5.</w:t>
      </w:r>
      <w:r w:rsidR="001F0139">
        <w:rPr>
          <w:rFonts w:ascii="Times New Roman" w:hAnsi="Times New Roman" w:cs="Times New Roman"/>
          <w:sz w:val="28"/>
          <w:szCs w:val="28"/>
        </w:rPr>
        <w:t xml:space="preserve"> </w:t>
      </w:r>
      <w:r w:rsidRPr="001F0139">
        <w:rPr>
          <w:rFonts w:ascii="Times New Roman" w:hAnsi="Times New Roman" w:cs="Times New Roman"/>
          <w:sz w:val="28"/>
          <w:szCs w:val="28"/>
        </w:rPr>
        <w:t>Качество и разнообразие культурной жизни, сохранение , развитие семейных, духовно-нравственных ценностей и здорового образа жизни</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t>6.2.6. Вовлечение населения в спортивные мероприятия</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t>6.2.7. Создание и развитие информационно-коммуникационной среды района</w:t>
      </w:r>
    </w:p>
    <w:p w:rsidR="008A6327" w:rsidRPr="001F0139" w:rsidRDefault="008A6327" w:rsidP="001F0139">
      <w:pPr>
        <w:pStyle w:val="a3"/>
        <w:widowControl w:val="0"/>
        <w:spacing w:after="0" w:line="240" w:lineRule="auto"/>
        <w:ind w:left="0"/>
        <w:contextualSpacing w:val="0"/>
        <w:jc w:val="both"/>
        <w:rPr>
          <w:rFonts w:ascii="Times New Roman" w:hAnsi="Times New Roman" w:cs="Times New Roman"/>
          <w:b/>
          <w:sz w:val="28"/>
          <w:szCs w:val="28"/>
        </w:rPr>
      </w:pPr>
      <w:r w:rsidRPr="001F0139">
        <w:rPr>
          <w:rFonts w:ascii="Times New Roman" w:hAnsi="Times New Roman" w:cs="Times New Roman"/>
          <w:b/>
          <w:sz w:val="28"/>
          <w:szCs w:val="28"/>
        </w:rPr>
        <w:t>7. СОЗДАНИЕ КОМФОРТНОГО ПРОСТРАНСТВА РАЙОНА</w:t>
      </w:r>
      <w:r w:rsidR="002760F1">
        <w:rPr>
          <w:rFonts w:ascii="Times New Roman" w:hAnsi="Times New Roman" w:cs="Times New Roman"/>
          <w:b/>
          <w:sz w:val="28"/>
          <w:szCs w:val="28"/>
        </w:rPr>
        <w:t xml:space="preserve"> </w:t>
      </w:r>
      <w:r w:rsidRPr="001F0139">
        <w:rPr>
          <w:rFonts w:ascii="Times New Roman" w:hAnsi="Times New Roman" w:cs="Times New Roman"/>
          <w:b/>
          <w:sz w:val="28"/>
          <w:szCs w:val="28"/>
        </w:rPr>
        <w:t>ДЛЯ ГАРМОНИЧНОГО РАЗВИТИЯ ЧЕЛОВЕЧЕСКОГО КАПИТАЛА</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t>7.1. Стратегическая диагностика</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t>7.2 Стратегические цели, задачи и ожидаемые результаты</w:t>
      </w:r>
      <w:r w:rsidR="002760F1">
        <w:rPr>
          <w:rFonts w:ascii="Times New Roman" w:hAnsi="Times New Roman" w:cs="Times New Roman"/>
          <w:sz w:val="28"/>
          <w:szCs w:val="28"/>
        </w:rPr>
        <w:t xml:space="preserve"> </w:t>
      </w:r>
      <w:r w:rsidRPr="001F0139">
        <w:rPr>
          <w:rFonts w:ascii="Times New Roman" w:hAnsi="Times New Roman" w:cs="Times New Roman"/>
          <w:sz w:val="28"/>
          <w:szCs w:val="28"/>
        </w:rPr>
        <w:t>направления «Создание комфортного пространства района</w:t>
      </w:r>
      <w:r w:rsidR="002760F1">
        <w:rPr>
          <w:rFonts w:ascii="Times New Roman" w:hAnsi="Times New Roman" w:cs="Times New Roman"/>
          <w:sz w:val="28"/>
          <w:szCs w:val="28"/>
        </w:rPr>
        <w:t xml:space="preserve"> </w:t>
      </w:r>
      <w:r w:rsidRPr="001F0139">
        <w:rPr>
          <w:rFonts w:ascii="Times New Roman" w:hAnsi="Times New Roman" w:cs="Times New Roman"/>
          <w:sz w:val="28"/>
          <w:szCs w:val="28"/>
        </w:rPr>
        <w:t>для гармоничного развития человеческого капитала</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t>7.2.1. Повышение комфортности жилой среды, модернизация объектов социальной инфраструктуры</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t>7.2.2. Поддержка и развитие экосреды района, повышение экологической грамотности населения</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lastRenderedPageBreak/>
        <w:t>7.2.3. Развитие культурного пространства и национальных традиций</w:t>
      </w:r>
    </w:p>
    <w:p w:rsidR="008A6327" w:rsidRPr="001F0139" w:rsidRDefault="008A6327" w:rsidP="001F0139">
      <w:pPr>
        <w:pStyle w:val="a3"/>
        <w:spacing w:after="0" w:line="240" w:lineRule="auto"/>
        <w:ind w:left="0"/>
        <w:contextualSpacing w:val="0"/>
        <w:jc w:val="both"/>
        <w:rPr>
          <w:rFonts w:ascii="Times New Roman" w:hAnsi="Times New Roman" w:cs="Times New Roman"/>
          <w:b/>
          <w:sz w:val="28"/>
          <w:szCs w:val="28"/>
        </w:rPr>
      </w:pPr>
      <w:r w:rsidRPr="001F0139">
        <w:rPr>
          <w:rFonts w:ascii="Times New Roman" w:hAnsi="Times New Roman" w:cs="Times New Roman"/>
          <w:b/>
          <w:sz w:val="28"/>
          <w:szCs w:val="28"/>
        </w:rPr>
        <w:t>8.</w:t>
      </w:r>
      <w:r w:rsidR="002760F1">
        <w:rPr>
          <w:rFonts w:ascii="Times New Roman" w:hAnsi="Times New Roman" w:cs="Times New Roman"/>
          <w:b/>
          <w:sz w:val="28"/>
          <w:szCs w:val="28"/>
        </w:rPr>
        <w:t xml:space="preserve"> </w:t>
      </w:r>
      <w:r w:rsidRPr="001F0139">
        <w:rPr>
          <w:rFonts w:ascii="Times New Roman" w:hAnsi="Times New Roman" w:cs="Times New Roman"/>
          <w:b/>
          <w:sz w:val="28"/>
          <w:szCs w:val="28"/>
        </w:rPr>
        <w:t>СОЗДАНИЕ ИННОВАЦИОННОЙ ЭКОНОМИКИ, В КОТОРОЙ ЧЕЛОВЕЧЕСКИЙ КАПИТАЛ ВОСТРЕБОВАН, УСПЕШНО ФУНКЦИОНИРУЕТ И РАЗВИВАЕТСЯ</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t>8.1. Стратегическая диагностика</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t>8.2.Стратегические цели, задачи и проектно-программный комплекс</w:t>
      </w:r>
      <w:r w:rsidR="002760F1">
        <w:rPr>
          <w:rFonts w:ascii="Times New Roman" w:hAnsi="Times New Roman" w:cs="Times New Roman"/>
          <w:sz w:val="28"/>
          <w:szCs w:val="28"/>
        </w:rPr>
        <w:t xml:space="preserve"> </w:t>
      </w:r>
      <w:r w:rsidRPr="001F0139">
        <w:rPr>
          <w:rFonts w:ascii="Times New Roman" w:hAnsi="Times New Roman" w:cs="Times New Roman"/>
          <w:sz w:val="28"/>
          <w:szCs w:val="28"/>
        </w:rPr>
        <w:t>направления «Формирование, совершенствование и накопление человеческого капитала».</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t xml:space="preserve">8.2.1.Развитие и модернизация производства сельскохозяйственной продукции </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t>8.2.2. Развитие перерабатывающих производств</w:t>
      </w:r>
    </w:p>
    <w:p w:rsidR="008A6327" w:rsidRPr="001F0139" w:rsidRDefault="008A6327" w:rsidP="001F0139">
      <w:pPr>
        <w:pStyle w:val="a3"/>
        <w:spacing w:after="0" w:line="240" w:lineRule="auto"/>
        <w:ind w:left="0"/>
        <w:contextualSpacing w:val="0"/>
        <w:jc w:val="both"/>
        <w:rPr>
          <w:rFonts w:ascii="Times New Roman" w:hAnsi="Times New Roman" w:cs="Times New Roman"/>
          <w:sz w:val="28"/>
          <w:szCs w:val="28"/>
        </w:rPr>
      </w:pPr>
      <w:r w:rsidRPr="001F0139">
        <w:rPr>
          <w:rFonts w:ascii="Times New Roman" w:hAnsi="Times New Roman" w:cs="Times New Roman"/>
          <w:sz w:val="28"/>
          <w:szCs w:val="28"/>
        </w:rPr>
        <w:t>8.2.3. Развитие сферы услуг</w:t>
      </w:r>
    </w:p>
    <w:p w:rsidR="008A6327" w:rsidRPr="001F0139" w:rsidRDefault="008A6327" w:rsidP="001F0139">
      <w:pPr>
        <w:widowControl w:val="0"/>
        <w:autoSpaceDE w:val="0"/>
        <w:autoSpaceDN w:val="0"/>
        <w:adjustRightInd w:val="0"/>
        <w:spacing w:after="0" w:line="240" w:lineRule="auto"/>
        <w:jc w:val="both"/>
        <w:rPr>
          <w:rFonts w:ascii="Times New Roman" w:hAnsi="Times New Roman" w:cs="Times New Roman"/>
          <w:sz w:val="28"/>
          <w:szCs w:val="28"/>
        </w:rPr>
      </w:pPr>
      <w:r w:rsidRPr="001F0139">
        <w:rPr>
          <w:rFonts w:ascii="Times New Roman" w:hAnsi="Times New Roman" w:cs="Times New Roman"/>
          <w:b/>
          <w:sz w:val="28"/>
          <w:szCs w:val="28"/>
        </w:rPr>
        <w:t>9.</w:t>
      </w:r>
      <w:r w:rsidR="001F0139">
        <w:rPr>
          <w:rFonts w:ascii="Times New Roman" w:hAnsi="Times New Roman" w:cs="Times New Roman"/>
          <w:b/>
          <w:sz w:val="28"/>
          <w:szCs w:val="28"/>
        </w:rPr>
        <w:t xml:space="preserve"> </w:t>
      </w:r>
      <w:r w:rsidRPr="001F0139">
        <w:rPr>
          <w:rFonts w:ascii="Times New Roman" w:hAnsi="Times New Roman" w:cs="Times New Roman"/>
          <w:b/>
          <w:sz w:val="28"/>
          <w:szCs w:val="28"/>
        </w:rPr>
        <w:t>ИНСТИТУЦИОНАЛЬНОЕ И РЕСУРСНОЕ ОБЕСПЕЧЕНИЕ РЕАЛИЗАЦИИ СТРАТЕГИИ</w:t>
      </w:r>
    </w:p>
    <w:p w:rsidR="008A6327" w:rsidRPr="001F0139" w:rsidRDefault="008A6327" w:rsidP="001F0139">
      <w:pPr>
        <w:widowControl w:val="0"/>
        <w:autoSpaceDE w:val="0"/>
        <w:autoSpaceDN w:val="0"/>
        <w:adjustRightInd w:val="0"/>
        <w:spacing w:after="0" w:line="240" w:lineRule="auto"/>
        <w:jc w:val="both"/>
        <w:rPr>
          <w:rFonts w:ascii="Times New Roman" w:hAnsi="Times New Roman" w:cs="Times New Roman"/>
          <w:sz w:val="28"/>
          <w:szCs w:val="28"/>
        </w:rPr>
      </w:pPr>
      <w:r w:rsidRPr="001F0139">
        <w:rPr>
          <w:rFonts w:ascii="Times New Roman" w:hAnsi="Times New Roman" w:cs="Times New Roman"/>
          <w:sz w:val="28"/>
          <w:szCs w:val="28"/>
        </w:rPr>
        <w:t xml:space="preserve">9.1 Этапы и сценарии развития </w:t>
      </w:r>
      <w:r w:rsidR="001F0139">
        <w:rPr>
          <w:rFonts w:ascii="Times New Roman" w:hAnsi="Times New Roman" w:cs="Times New Roman"/>
          <w:sz w:val="28"/>
          <w:szCs w:val="28"/>
        </w:rPr>
        <w:t>муниципального района Камышлинский</w:t>
      </w:r>
    </w:p>
    <w:p w:rsidR="008A6327" w:rsidRPr="001F0139" w:rsidRDefault="008A6327" w:rsidP="001F0139">
      <w:pPr>
        <w:spacing w:after="0" w:line="240" w:lineRule="auto"/>
        <w:jc w:val="both"/>
        <w:rPr>
          <w:rFonts w:ascii="Times New Roman" w:hAnsi="Times New Roman" w:cs="Times New Roman"/>
          <w:sz w:val="28"/>
          <w:szCs w:val="28"/>
        </w:rPr>
      </w:pPr>
      <w:r w:rsidRPr="001F0139">
        <w:rPr>
          <w:rFonts w:ascii="Times New Roman" w:hAnsi="Times New Roman" w:cs="Times New Roman"/>
          <w:sz w:val="28"/>
          <w:szCs w:val="28"/>
        </w:rPr>
        <w:t>9.2. Оценка финансовых ресурсов</w:t>
      </w:r>
    </w:p>
    <w:p w:rsidR="00A722E5" w:rsidRPr="001F0139" w:rsidRDefault="008A6327" w:rsidP="001F0139">
      <w:pPr>
        <w:spacing w:after="0" w:line="240" w:lineRule="auto"/>
        <w:jc w:val="both"/>
        <w:rPr>
          <w:rFonts w:ascii="Times New Roman" w:hAnsi="Times New Roman" w:cs="Times New Roman"/>
          <w:sz w:val="28"/>
          <w:szCs w:val="28"/>
        </w:rPr>
      </w:pPr>
      <w:r w:rsidRPr="001F0139">
        <w:rPr>
          <w:rFonts w:ascii="Times New Roman" w:hAnsi="Times New Roman" w:cs="Times New Roman"/>
          <w:sz w:val="28"/>
          <w:szCs w:val="28"/>
        </w:rPr>
        <w:t>9.3</w:t>
      </w:r>
      <w:r w:rsidR="001F0139">
        <w:rPr>
          <w:rFonts w:ascii="Times New Roman" w:hAnsi="Times New Roman" w:cs="Times New Roman"/>
          <w:sz w:val="28"/>
          <w:szCs w:val="28"/>
        </w:rPr>
        <w:t xml:space="preserve"> </w:t>
      </w:r>
      <w:r w:rsidRPr="001F0139">
        <w:rPr>
          <w:rFonts w:ascii="Times New Roman" w:hAnsi="Times New Roman" w:cs="Times New Roman"/>
          <w:sz w:val="28"/>
          <w:szCs w:val="28"/>
        </w:rPr>
        <w:t xml:space="preserve">Механизм реализации стратегии и мониторинг </w:t>
      </w:r>
    </w:p>
    <w:p w:rsidR="00633F69" w:rsidRPr="001F0139" w:rsidRDefault="00633F69" w:rsidP="001F0139">
      <w:pPr>
        <w:spacing w:after="0"/>
        <w:rPr>
          <w:rFonts w:ascii="Times New Roman" w:eastAsia="Times New Roman" w:hAnsi="Times New Roman" w:cs="Times New Roman"/>
          <w:b/>
          <w:bCs/>
          <w:color w:val="365F91" w:themeColor="accent1" w:themeShade="BF"/>
          <w:sz w:val="28"/>
          <w:szCs w:val="28"/>
        </w:rPr>
      </w:pPr>
      <w:r w:rsidRPr="001F0139">
        <w:rPr>
          <w:rFonts w:ascii="Times New Roman" w:hAnsi="Times New Roman" w:cs="Times New Roman"/>
          <w:color w:val="365F91" w:themeColor="accent1" w:themeShade="BF"/>
        </w:rPr>
        <w:br w:type="page"/>
      </w:r>
    </w:p>
    <w:p w:rsidR="008B6E71" w:rsidRPr="001F0139" w:rsidRDefault="008B6E71" w:rsidP="001F0139">
      <w:pPr>
        <w:pStyle w:val="10"/>
        <w:keepNext/>
        <w:keepLines/>
        <w:shd w:val="clear" w:color="auto" w:fill="auto"/>
        <w:spacing w:after="0" w:line="360" w:lineRule="auto"/>
        <w:ind w:firstLine="0"/>
        <w:rPr>
          <w:color w:val="365F91" w:themeColor="accent1" w:themeShade="BF"/>
        </w:rPr>
      </w:pPr>
      <w:r w:rsidRPr="001F0139">
        <w:rPr>
          <w:color w:val="365F91" w:themeColor="accent1" w:themeShade="BF"/>
        </w:rPr>
        <w:lastRenderedPageBreak/>
        <w:t>1.ОБЩИЕ ПОЛОЖЕНИЯ</w:t>
      </w:r>
      <w:bookmarkEnd w:id="0"/>
    </w:p>
    <w:p w:rsidR="008B6E71" w:rsidRPr="001F0139" w:rsidRDefault="008B6E71" w:rsidP="001F0139">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1F0139">
        <w:rPr>
          <w:rFonts w:ascii="Times New Roman" w:eastAsia="Times New Roman" w:hAnsi="Times New Roman" w:cs="Times New Roman"/>
          <w:sz w:val="28"/>
          <w:szCs w:val="28"/>
        </w:rPr>
        <w:t>Правовая основа Стратегии социально-экономического развития района – Федеральный закон от 28 июня 2014г. № 172-ФЗ «О стратегическом планировании в Российской Федерации», Законом Самарской области от 12.03.2018 №19-ГД «О стратегическом планировании в Самарской области», а также Постановление Правительства Самарской области от 12 июля 2017г. № 441 «О стратегии социально-экономического развития Самарской области до 2030г.» и Указ Президента Российской Федерации от 7 мая 2018 г. № 204 «Национальные цели и стратегические задачи развития Российской Федерации на период до 2024 года».</w:t>
      </w:r>
    </w:p>
    <w:p w:rsidR="008B6E71" w:rsidRPr="001F0139" w:rsidRDefault="008B6E71" w:rsidP="001F0139">
      <w:pPr>
        <w:shd w:val="clear" w:color="auto" w:fill="FFFFFF"/>
        <w:spacing w:after="0" w:line="360" w:lineRule="auto"/>
        <w:ind w:firstLine="709"/>
        <w:jc w:val="both"/>
        <w:textAlignment w:val="baseline"/>
        <w:rPr>
          <w:rFonts w:ascii="Times New Roman" w:eastAsia="Times New Roman" w:hAnsi="Times New Roman" w:cs="Times New Roman"/>
          <w:color w:val="365F91" w:themeColor="accent1" w:themeShade="BF"/>
          <w:sz w:val="28"/>
          <w:szCs w:val="28"/>
        </w:rPr>
      </w:pPr>
    </w:p>
    <w:p w:rsidR="008B6E71" w:rsidRPr="001F0139" w:rsidRDefault="008B6E71" w:rsidP="001F0139">
      <w:pPr>
        <w:pStyle w:val="10"/>
        <w:keepNext/>
        <w:keepLines/>
        <w:shd w:val="clear" w:color="auto" w:fill="auto"/>
        <w:spacing w:after="0" w:line="360" w:lineRule="auto"/>
        <w:ind w:firstLine="0"/>
        <w:rPr>
          <w:color w:val="365F91" w:themeColor="accent1" w:themeShade="BF"/>
        </w:rPr>
      </w:pPr>
      <w:r w:rsidRPr="001F0139">
        <w:rPr>
          <w:color w:val="365F91" w:themeColor="accent1" w:themeShade="BF"/>
        </w:rPr>
        <w:t xml:space="preserve">2.МИССИЯ И </w:t>
      </w:r>
      <w:r w:rsidR="00633F69" w:rsidRPr="001F0139">
        <w:rPr>
          <w:color w:val="365F91" w:themeColor="accent1" w:themeShade="BF"/>
        </w:rPr>
        <w:t>НАПРАВЛЕНИЯ</w:t>
      </w:r>
      <w:r w:rsidRPr="001F0139">
        <w:rPr>
          <w:color w:val="365F91" w:themeColor="accent1" w:themeShade="BF"/>
        </w:rPr>
        <w:t xml:space="preserve"> СОЦИАЛЬНО-ЭКОНОМИЧЕСКОГО РАЗВИТИЯ МУНИЦИПАЛЬНОГО РАЙОНА КАМЫШЛИНСКИЙ ДО 2030 ГОДА</w:t>
      </w:r>
    </w:p>
    <w:p w:rsidR="004643AF" w:rsidRPr="001F0139" w:rsidRDefault="004643AF"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Миссия муниципального района Камышлинский, характеризующая его роль во внешней среде и участие в реализации приоритетов развития Российской Федерации и Самарской области, обуславливается его специализацией и определяется следующим образом:</w:t>
      </w:r>
    </w:p>
    <w:p w:rsidR="00E7129E" w:rsidRPr="001F0139" w:rsidRDefault="00E7129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b/>
          <w:sz w:val="28"/>
          <w:szCs w:val="28"/>
        </w:rPr>
        <w:t>Камышлинский район для Камышлинцев</w:t>
      </w:r>
      <w:r w:rsidRPr="001F0139">
        <w:rPr>
          <w:rFonts w:ascii="Times New Roman" w:hAnsi="Times New Roman" w:cs="Times New Roman"/>
          <w:sz w:val="28"/>
          <w:szCs w:val="28"/>
        </w:rPr>
        <w:t>: «Территория высокой нравственности, здорового образа жизни, развитой экономики, малая Родина больших возможностей»</w:t>
      </w:r>
    </w:p>
    <w:p w:rsidR="00E7129E" w:rsidRPr="001F0139" w:rsidRDefault="00E7129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b/>
          <w:sz w:val="28"/>
          <w:szCs w:val="28"/>
        </w:rPr>
        <w:t>Камышлинский район для России</w:t>
      </w:r>
      <w:r w:rsidRPr="001F0139">
        <w:rPr>
          <w:rFonts w:ascii="Times New Roman" w:hAnsi="Times New Roman" w:cs="Times New Roman"/>
          <w:sz w:val="28"/>
          <w:szCs w:val="28"/>
        </w:rPr>
        <w:t>: «Малая Родина Камышла» – этнотуристический центр с богатыми национальными традициями и историко-культурным наследием»</w:t>
      </w:r>
    </w:p>
    <w:p w:rsidR="00E7129E" w:rsidRPr="001F0139" w:rsidRDefault="00E7129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b/>
          <w:sz w:val="28"/>
          <w:szCs w:val="28"/>
        </w:rPr>
        <w:t>Камышлинский район для Самарской области</w:t>
      </w:r>
      <w:r w:rsidRPr="001F0139">
        <w:rPr>
          <w:rFonts w:ascii="Times New Roman" w:hAnsi="Times New Roman" w:cs="Times New Roman"/>
          <w:sz w:val="28"/>
          <w:szCs w:val="28"/>
        </w:rPr>
        <w:t>: «Уникальная территория компактного проживания татар с крепкими национальными и духовными традициями»</w:t>
      </w:r>
    </w:p>
    <w:p w:rsidR="00E7129E" w:rsidRPr="001F0139" w:rsidRDefault="00E7129E" w:rsidP="001F0139">
      <w:pPr>
        <w:spacing w:after="0" w:line="360" w:lineRule="auto"/>
        <w:ind w:firstLine="709"/>
        <w:jc w:val="both"/>
        <w:rPr>
          <w:rFonts w:ascii="Times New Roman" w:hAnsi="Times New Roman" w:cs="Times New Roman"/>
          <w:b/>
          <w:sz w:val="28"/>
          <w:szCs w:val="28"/>
        </w:rPr>
      </w:pPr>
      <w:r w:rsidRPr="001F0139">
        <w:rPr>
          <w:rFonts w:ascii="Times New Roman" w:hAnsi="Times New Roman" w:cs="Times New Roman"/>
          <w:b/>
          <w:sz w:val="28"/>
          <w:szCs w:val="28"/>
        </w:rPr>
        <w:t xml:space="preserve">Главная цель: </w:t>
      </w:r>
    </w:p>
    <w:p w:rsidR="00E7129E" w:rsidRPr="001F0139" w:rsidRDefault="00E7129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«Создание условий для социально – ориентированного бизнеса, комфортного проживания и гармоничного развития личности» </w:t>
      </w:r>
    </w:p>
    <w:p w:rsidR="004643AF" w:rsidRPr="001F0139" w:rsidRDefault="004643AF"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b/>
          <w:sz w:val="28"/>
          <w:szCs w:val="28"/>
        </w:rPr>
        <w:lastRenderedPageBreak/>
        <w:t>Ключевые задачи</w:t>
      </w:r>
      <w:r w:rsidRPr="001F0139">
        <w:rPr>
          <w:rFonts w:ascii="Times New Roman" w:hAnsi="Times New Roman" w:cs="Times New Roman"/>
          <w:sz w:val="28"/>
          <w:szCs w:val="28"/>
        </w:rPr>
        <w:t xml:space="preserve">: </w:t>
      </w:r>
    </w:p>
    <w:p w:rsidR="004643AF" w:rsidRPr="001F0139" w:rsidRDefault="004643AF" w:rsidP="001F0139">
      <w:pPr>
        <w:numPr>
          <w:ilvl w:val="0"/>
          <w:numId w:val="3"/>
        </w:numPr>
        <w:tabs>
          <w:tab w:val="left" w:pos="993"/>
        </w:tabs>
        <w:spacing w:after="0" w:line="360" w:lineRule="auto"/>
        <w:ind w:left="0" w:firstLine="709"/>
        <w:jc w:val="both"/>
        <w:rPr>
          <w:rFonts w:ascii="Times New Roman" w:hAnsi="Times New Roman" w:cs="Times New Roman"/>
          <w:bCs/>
          <w:sz w:val="28"/>
          <w:szCs w:val="28"/>
        </w:rPr>
      </w:pPr>
      <w:r w:rsidRPr="001F0139">
        <w:rPr>
          <w:rFonts w:ascii="Times New Roman" w:hAnsi="Times New Roman" w:cs="Times New Roman"/>
          <w:bCs/>
          <w:sz w:val="28"/>
          <w:szCs w:val="28"/>
        </w:rPr>
        <w:t xml:space="preserve">Создание благоприятных условий для развития социально-ориентированного бизнеса на основе частных инвестиций и муниципально-частного партнерства; </w:t>
      </w:r>
    </w:p>
    <w:p w:rsidR="004643AF" w:rsidRPr="001F0139" w:rsidRDefault="004643AF" w:rsidP="001F0139">
      <w:pPr>
        <w:numPr>
          <w:ilvl w:val="0"/>
          <w:numId w:val="3"/>
        </w:numPr>
        <w:tabs>
          <w:tab w:val="left" w:pos="993"/>
        </w:tabs>
        <w:spacing w:after="0" w:line="360" w:lineRule="auto"/>
        <w:ind w:left="0" w:firstLine="709"/>
        <w:jc w:val="both"/>
        <w:rPr>
          <w:rFonts w:ascii="Times New Roman" w:hAnsi="Times New Roman" w:cs="Times New Roman"/>
          <w:bCs/>
          <w:sz w:val="28"/>
          <w:szCs w:val="28"/>
        </w:rPr>
      </w:pPr>
      <w:r w:rsidRPr="001F0139">
        <w:rPr>
          <w:rFonts w:ascii="Times New Roman" w:hAnsi="Times New Roman" w:cs="Times New Roman"/>
          <w:bCs/>
          <w:sz w:val="28"/>
          <w:szCs w:val="28"/>
        </w:rPr>
        <w:t>Формирование новых производств сельского хозяйства, перерабатывающей промышленности, сферы услуг и туризма;</w:t>
      </w:r>
      <w:r w:rsidRPr="001F0139">
        <w:rPr>
          <w:rFonts w:ascii="Times New Roman" w:hAnsi="Times New Roman" w:cs="Times New Roman"/>
          <w:b/>
          <w:bCs/>
          <w:sz w:val="28"/>
          <w:szCs w:val="28"/>
        </w:rPr>
        <w:t xml:space="preserve"> </w:t>
      </w:r>
    </w:p>
    <w:p w:rsidR="004643AF" w:rsidRPr="001F0139" w:rsidRDefault="004643AF" w:rsidP="001F0139">
      <w:pPr>
        <w:numPr>
          <w:ilvl w:val="0"/>
          <w:numId w:val="3"/>
        </w:numPr>
        <w:tabs>
          <w:tab w:val="left" w:pos="993"/>
        </w:tabs>
        <w:spacing w:after="0" w:line="360" w:lineRule="auto"/>
        <w:ind w:left="0" w:firstLine="709"/>
        <w:jc w:val="both"/>
        <w:rPr>
          <w:rFonts w:ascii="Times New Roman" w:hAnsi="Times New Roman" w:cs="Times New Roman"/>
          <w:bCs/>
          <w:sz w:val="28"/>
          <w:szCs w:val="28"/>
        </w:rPr>
      </w:pPr>
      <w:r w:rsidRPr="001F0139">
        <w:rPr>
          <w:rFonts w:ascii="Times New Roman" w:hAnsi="Times New Roman" w:cs="Times New Roman"/>
          <w:bCs/>
          <w:sz w:val="28"/>
          <w:szCs w:val="28"/>
        </w:rPr>
        <w:t xml:space="preserve">Повышение комфортности жилой среды, поддержка и развитие экосреды района, развитие культурного пространства и национальных традиций; </w:t>
      </w:r>
    </w:p>
    <w:p w:rsidR="004643AF" w:rsidRPr="001F0139" w:rsidRDefault="004643AF" w:rsidP="001F0139">
      <w:pPr>
        <w:numPr>
          <w:ilvl w:val="0"/>
          <w:numId w:val="3"/>
        </w:numPr>
        <w:tabs>
          <w:tab w:val="left" w:pos="993"/>
        </w:tabs>
        <w:spacing w:after="0" w:line="360" w:lineRule="auto"/>
        <w:ind w:left="0" w:firstLine="709"/>
        <w:jc w:val="both"/>
        <w:rPr>
          <w:rFonts w:ascii="Times New Roman" w:hAnsi="Times New Roman" w:cs="Times New Roman"/>
          <w:bCs/>
          <w:sz w:val="28"/>
          <w:szCs w:val="28"/>
        </w:rPr>
      </w:pPr>
      <w:r w:rsidRPr="001F0139">
        <w:rPr>
          <w:rFonts w:ascii="Times New Roman" w:hAnsi="Times New Roman" w:cs="Times New Roman"/>
          <w:bCs/>
          <w:sz w:val="28"/>
          <w:szCs w:val="28"/>
        </w:rPr>
        <w:t> Развитие кадрового потенциала и инфраструктуры</w:t>
      </w:r>
      <w:r w:rsidR="002760F1">
        <w:rPr>
          <w:rFonts w:ascii="Times New Roman" w:hAnsi="Times New Roman" w:cs="Times New Roman"/>
          <w:bCs/>
          <w:sz w:val="28"/>
          <w:szCs w:val="28"/>
        </w:rPr>
        <w:t xml:space="preserve"> </w:t>
      </w:r>
      <w:r w:rsidRPr="001F0139">
        <w:rPr>
          <w:rFonts w:ascii="Times New Roman" w:hAnsi="Times New Roman" w:cs="Times New Roman"/>
          <w:bCs/>
          <w:sz w:val="28"/>
          <w:szCs w:val="28"/>
        </w:rPr>
        <w:t xml:space="preserve">системы образования, здравоохранения, культуры и спорта; </w:t>
      </w:r>
    </w:p>
    <w:p w:rsidR="004643AF" w:rsidRPr="001F0139" w:rsidRDefault="004643AF" w:rsidP="001F0139">
      <w:pPr>
        <w:numPr>
          <w:ilvl w:val="0"/>
          <w:numId w:val="3"/>
        </w:numPr>
        <w:tabs>
          <w:tab w:val="left" w:pos="993"/>
        </w:tabs>
        <w:spacing w:after="0" w:line="360" w:lineRule="auto"/>
        <w:ind w:left="0" w:firstLine="709"/>
        <w:jc w:val="both"/>
        <w:rPr>
          <w:rFonts w:ascii="Times New Roman" w:hAnsi="Times New Roman" w:cs="Times New Roman"/>
          <w:bCs/>
          <w:sz w:val="28"/>
          <w:szCs w:val="28"/>
        </w:rPr>
      </w:pPr>
      <w:r w:rsidRPr="001F0139">
        <w:rPr>
          <w:rFonts w:ascii="Times New Roman" w:hAnsi="Times New Roman" w:cs="Times New Roman"/>
          <w:bCs/>
          <w:sz w:val="28"/>
          <w:szCs w:val="28"/>
        </w:rPr>
        <w:t>Сохранение</w:t>
      </w:r>
      <w:r w:rsidR="002760F1">
        <w:rPr>
          <w:rFonts w:ascii="Times New Roman" w:hAnsi="Times New Roman" w:cs="Times New Roman"/>
          <w:bCs/>
          <w:sz w:val="28"/>
          <w:szCs w:val="28"/>
        </w:rPr>
        <w:t xml:space="preserve"> </w:t>
      </w:r>
      <w:r w:rsidRPr="001F0139">
        <w:rPr>
          <w:rFonts w:ascii="Times New Roman" w:hAnsi="Times New Roman" w:cs="Times New Roman"/>
          <w:bCs/>
          <w:sz w:val="28"/>
          <w:szCs w:val="28"/>
        </w:rPr>
        <w:t>и развитие семейных, духовно-нравственных ценностей и здорового образа жизни;</w:t>
      </w:r>
    </w:p>
    <w:p w:rsidR="004643AF" w:rsidRPr="001F0139" w:rsidRDefault="004643AF" w:rsidP="001F0139">
      <w:pPr>
        <w:numPr>
          <w:ilvl w:val="0"/>
          <w:numId w:val="3"/>
        </w:numPr>
        <w:tabs>
          <w:tab w:val="left" w:pos="993"/>
        </w:tabs>
        <w:spacing w:after="0" w:line="360" w:lineRule="auto"/>
        <w:ind w:left="0" w:firstLine="709"/>
        <w:jc w:val="both"/>
        <w:rPr>
          <w:rFonts w:ascii="Times New Roman" w:hAnsi="Times New Roman" w:cs="Times New Roman"/>
          <w:bCs/>
          <w:sz w:val="28"/>
          <w:szCs w:val="28"/>
        </w:rPr>
      </w:pPr>
      <w:r w:rsidRPr="001F0139">
        <w:rPr>
          <w:rFonts w:ascii="Times New Roman" w:hAnsi="Times New Roman" w:cs="Times New Roman"/>
          <w:bCs/>
          <w:sz w:val="28"/>
          <w:szCs w:val="28"/>
        </w:rPr>
        <w:t xml:space="preserve">Создание и развитие информационно-коммуникационной среды района </w:t>
      </w:r>
    </w:p>
    <w:p w:rsidR="00E7129E" w:rsidRPr="001F0139" w:rsidRDefault="004643AF"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Стержень стратегии - человек, и три приоритета Стратегии группируются вокруг этого стержня: </w:t>
      </w:r>
    </w:p>
    <w:p w:rsidR="00E7129E" w:rsidRPr="001F0139" w:rsidRDefault="00DE1D1C" w:rsidP="001F0139">
      <w:pPr>
        <w:spacing w:after="0" w:line="360" w:lineRule="auto"/>
        <w:ind w:firstLine="709"/>
        <w:jc w:val="both"/>
        <w:rPr>
          <w:rFonts w:ascii="Times New Roman" w:hAnsi="Times New Roman" w:cs="Times New Roman"/>
          <w:i/>
          <w:sz w:val="28"/>
          <w:szCs w:val="28"/>
        </w:rPr>
      </w:pPr>
      <w:r w:rsidRPr="001F0139">
        <w:rPr>
          <w:rFonts w:ascii="Times New Roman" w:hAnsi="Times New Roman" w:cs="Times New Roman"/>
          <w:i/>
          <w:sz w:val="28"/>
          <w:szCs w:val="28"/>
        </w:rPr>
        <w:t>Ф</w:t>
      </w:r>
      <w:r w:rsidR="004643AF" w:rsidRPr="001F0139">
        <w:rPr>
          <w:rFonts w:ascii="Times New Roman" w:hAnsi="Times New Roman" w:cs="Times New Roman"/>
          <w:i/>
          <w:sz w:val="28"/>
          <w:szCs w:val="28"/>
        </w:rPr>
        <w:t>ормирование</w:t>
      </w:r>
      <w:r w:rsidRPr="001F0139">
        <w:rPr>
          <w:rFonts w:ascii="Times New Roman" w:hAnsi="Times New Roman" w:cs="Times New Roman"/>
          <w:i/>
          <w:sz w:val="28"/>
          <w:szCs w:val="28"/>
        </w:rPr>
        <w:t>, совершенствование</w:t>
      </w:r>
      <w:r w:rsidR="004643AF" w:rsidRPr="001F0139">
        <w:rPr>
          <w:rFonts w:ascii="Times New Roman" w:hAnsi="Times New Roman" w:cs="Times New Roman"/>
          <w:i/>
          <w:sz w:val="28"/>
          <w:szCs w:val="28"/>
        </w:rPr>
        <w:t xml:space="preserve"> и накопление человеческого капитала; </w:t>
      </w:r>
    </w:p>
    <w:p w:rsidR="00E7129E" w:rsidRPr="001F0139" w:rsidRDefault="00DE1D1C" w:rsidP="001F0139">
      <w:pPr>
        <w:spacing w:after="0" w:line="360" w:lineRule="auto"/>
        <w:ind w:firstLine="709"/>
        <w:jc w:val="both"/>
        <w:rPr>
          <w:rFonts w:ascii="Times New Roman" w:hAnsi="Times New Roman" w:cs="Times New Roman"/>
          <w:i/>
          <w:sz w:val="28"/>
          <w:szCs w:val="28"/>
        </w:rPr>
      </w:pPr>
      <w:r w:rsidRPr="001F0139">
        <w:rPr>
          <w:rFonts w:ascii="Times New Roman" w:hAnsi="Times New Roman" w:cs="Times New Roman"/>
          <w:i/>
          <w:sz w:val="28"/>
          <w:szCs w:val="28"/>
        </w:rPr>
        <w:t>С</w:t>
      </w:r>
      <w:r w:rsidR="004643AF" w:rsidRPr="001F0139">
        <w:rPr>
          <w:rFonts w:ascii="Times New Roman" w:hAnsi="Times New Roman" w:cs="Times New Roman"/>
          <w:i/>
          <w:sz w:val="28"/>
          <w:szCs w:val="28"/>
        </w:rPr>
        <w:t>оздание комфортного пространства</w:t>
      </w:r>
      <w:r w:rsidRPr="001F0139">
        <w:rPr>
          <w:rFonts w:ascii="Times New Roman" w:hAnsi="Times New Roman" w:cs="Times New Roman"/>
          <w:i/>
          <w:sz w:val="28"/>
          <w:szCs w:val="28"/>
        </w:rPr>
        <w:t xml:space="preserve"> района</w:t>
      </w:r>
      <w:r w:rsidR="002760F1">
        <w:rPr>
          <w:rFonts w:ascii="Times New Roman" w:hAnsi="Times New Roman" w:cs="Times New Roman"/>
          <w:i/>
          <w:sz w:val="28"/>
          <w:szCs w:val="28"/>
        </w:rPr>
        <w:t xml:space="preserve"> </w:t>
      </w:r>
      <w:r w:rsidR="004643AF" w:rsidRPr="001F0139">
        <w:rPr>
          <w:rFonts w:ascii="Times New Roman" w:hAnsi="Times New Roman" w:cs="Times New Roman"/>
          <w:i/>
          <w:sz w:val="28"/>
          <w:szCs w:val="28"/>
        </w:rPr>
        <w:t xml:space="preserve">для </w:t>
      </w:r>
      <w:r w:rsidRPr="001F0139">
        <w:rPr>
          <w:rFonts w:ascii="Times New Roman" w:hAnsi="Times New Roman" w:cs="Times New Roman"/>
          <w:i/>
          <w:sz w:val="28"/>
          <w:szCs w:val="28"/>
        </w:rPr>
        <w:t xml:space="preserve">гармоничного </w:t>
      </w:r>
      <w:r w:rsidR="004643AF" w:rsidRPr="001F0139">
        <w:rPr>
          <w:rFonts w:ascii="Times New Roman" w:hAnsi="Times New Roman" w:cs="Times New Roman"/>
          <w:i/>
          <w:sz w:val="28"/>
          <w:szCs w:val="28"/>
        </w:rPr>
        <w:t xml:space="preserve">развития человеческого капитала; </w:t>
      </w:r>
    </w:p>
    <w:p w:rsidR="004643AF" w:rsidRPr="001F0139" w:rsidRDefault="00DE1D1C" w:rsidP="001F0139">
      <w:pPr>
        <w:spacing w:after="0" w:line="360" w:lineRule="auto"/>
        <w:ind w:firstLine="709"/>
        <w:jc w:val="both"/>
        <w:rPr>
          <w:rFonts w:ascii="Times New Roman" w:hAnsi="Times New Roman" w:cs="Times New Roman"/>
          <w:i/>
          <w:sz w:val="28"/>
          <w:szCs w:val="28"/>
        </w:rPr>
      </w:pPr>
      <w:r w:rsidRPr="001F0139">
        <w:rPr>
          <w:rFonts w:ascii="Times New Roman" w:hAnsi="Times New Roman" w:cs="Times New Roman"/>
          <w:i/>
          <w:sz w:val="28"/>
          <w:szCs w:val="28"/>
        </w:rPr>
        <w:t>С</w:t>
      </w:r>
      <w:r w:rsidR="004643AF" w:rsidRPr="001F0139">
        <w:rPr>
          <w:rFonts w:ascii="Times New Roman" w:hAnsi="Times New Roman" w:cs="Times New Roman"/>
          <w:i/>
          <w:sz w:val="28"/>
          <w:szCs w:val="28"/>
        </w:rPr>
        <w:t xml:space="preserve">оздание </w:t>
      </w:r>
      <w:r w:rsidR="00E7129E" w:rsidRPr="001F0139">
        <w:rPr>
          <w:rFonts w:ascii="Times New Roman" w:hAnsi="Times New Roman" w:cs="Times New Roman"/>
          <w:i/>
          <w:sz w:val="28"/>
          <w:szCs w:val="28"/>
        </w:rPr>
        <w:t>инновационной экономики</w:t>
      </w:r>
      <w:r w:rsidR="004643AF" w:rsidRPr="001F0139">
        <w:rPr>
          <w:rFonts w:ascii="Times New Roman" w:hAnsi="Times New Roman" w:cs="Times New Roman"/>
          <w:i/>
          <w:sz w:val="28"/>
          <w:szCs w:val="28"/>
        </w:rPr>
        <w:t xml:space="preserve">, </w:t>
      </w:r>
      <w:r w:rsidRPr="001F0139">
        <w:rPr>
          <w:rFonts w:ascii="Times New Roman" w:hAnsi="Times New Roman" w:cs="Times New Roman"/>
          <w:i/>
          <w:sz w:val="28"/>
          <w:szCs w:val="28"/>
        </w:rPr>
        <w:t xml:space="preserve">в которой </w:t>
      </w:r>
      <w:r w:rsidR="004643AF" w:rsidRPr="001F0139">
        <w:rPr>
          <w:rFonts w:ascii="Times New Roman" w:hAnsi="Times New Roman" w:cs="Times New Roman"/>
          <w:i/>
          <w:sz w:val="28"/>
          <w:szCs w:val="28"/>
        </w:rPr>
        <w:t>человеческий капитал востребован</w:t>
      </w:r>
      <w:r w:rsidR="00E7129E" w:rsidRPr="001F0139">
        <w:rPr>
          <w:rFonts w:ascii="Times New Roman" w:hAnsi="Times New Roman" w:cs="Times New Roman"/>
          <w:i/>
          <w:sz w:val="28"/>
          <w:szCs w:val="28"/>
        </w:rPr>
        <w:t xml:space="preserve">, </w:t>
      </w:r>
      <w:r w:rsidR="004643AF" w:rsidRPr="001F0139">
        <w:rPr>
          <w:rFonts w:ascii="Times New Roman" w:hAnsi="Times New Roman" w:cs="Times New Roman"/>
          <w:i/>
          <w:sz w:val="28"/>
          <w:szCs w:val="28"/>
        </w:rPr>
        <w:t>успешно функционир</w:t>
      </w:r>
      <w:r w:rsidR="00E7129E" w:rsidRPr="001F0139">
        <w:rPr>
          <w:rFonts w:ascii="Times New Roman" w:hAnsi="Times New Roman" w:cs="Times New Roman"/>
          <w:i/>
          <w:sz w:val="28"/>
          <w:szCs w:val="28"/>
        </w:rPr>
        <w:t>ует и развивается</w:t>
      </w:r>
      <w:r w:rsidR="004643AF" w:rsidRPr="001F0139">
        <w:rPr>
          <w:rFonts w:ascii="Times New Roman" w:hAnsi="Times New Roman" w:cs="Times New Roman"/>
          <w:i/>
          <w:sz w:val="28"/>
          <w:szCs w:val="28"/>
        </w:rPr>
        <w:t>.</w:t>
      </w:r>
    </w:p>
    <w:p w:rsidR="00814189" w:rsidRPr="001F0139" w:rsidRDefault="00814189" w:rsidP="001F0139">
      <w:pPr>
        <w:spacing w:after="0" w:line="360" w:lineRule="auto"/>
        <w:ind w:firstLine="709"/>
        <w:jc w:val="both"/>
        <w:rPr>
          <w:rFonts w:ascii="Times New Roman" w:hAnsi="Times New Roman" w:cs="Times New Roman"/>
          <w:sz w:val="28"/>
          <w:szCs w:val="28"/>
        </w:rPr>
      </w:pPr>
    </w:p>
    <w:p w:rsidR="00814189" w:rsidRPr="001F0139" w:rsidRDefault="00814189" w:rsidP="001F0139">
      <w:pPr>
        <w:pStyle w:val="10"/>
        <w:keepNext/>
        <w:keepLines/>
        <w:shd w:val="clear" w:color="auto" w:fill="auto"/>
        <w:spacing w:after="0" w:line="360" w:lineRule="auto"/>
        <w:ind w:firstLine="0"/>
        <w:rPr>
          <w:color w:val="365F91" w:themeColor="accent1" w:themeShade="BF"/>
        </w:rPr>
      </w:pPr>
      <w:bookmarkStart w:id="2" w:name="bookmark2"/>
      <w:r w:rsidRPr="001F0139">
        <w:rPr>
          <w:color w:val="365F91" w:themeColor="accent1" w:themeShade="BF"/>
        </w:rPr>
        <w:t xml:space="preserve">3. </w:t>
      </w:r>
      <w:bookmarkEnd w:id="2"/>
      <w:r w:rsidRPr="001F0139">
        <w:rPr>
          <w:color w:val="365F91" w:themeColor="accent1" w:themeShade="BF"/>
        </w:rPr>
        <w:t xml:space="preserve">ОСНОВНЫЕ СВЕДЕНИЯ И ОСОБЕННОСТИ ЭКОНОМИКО-ГЕОГРАФИЧЕСКОГО </w:t>
      </w:r>
      <w:bookmarkStart w:id="3" w:name="bookmark5"/>
      <w:r w:rsidRPr="001F0139">
        <w:rPr>
          <w:color w:val="365F91" w:themeColor="accent1" w:themeShade="BF"/>
        </w:rPr>
        <w:t>ПОЛОЖЕНИЯ</w:t>
      </w:r>
      <w:bookmarkEnd w:id="3"/>
    </w:p>
    <w:p w:rsidR="00D14EDE" w:rsidRPr="001F0139" w:rsidRDefault="00D14EDE" w:rsidP="001F0139">
      <w:pPr>
        <w:pStyle w:val="10"/>
        <w:keepNext/>
        <w:keepLines/>
        <w:shd w:val="clear" w:color="auto" w:fill="auto"/>
        <w:spacing w:after="0" w:line="360" w:lineRule="auto"/>
        <w:ind w:firstLine="0"/>
        <w:rPr>
          <w:color w:val="365F91" w:themeColor="accent1" w:themeShade="BF"/>
        </w:rPr>
      </w:pPr>
      <w:r w:rsidRPr="001F0139">
        <w:rPr>
          <w:color w:val="365F91" w:themeColor="accent1" w:themeShade="BF"/>
        </w:rPr>
        <w:t>3.1</w:t>
      </w:r>
      <w:bookmarkStart w:id="4" w:name="bookmark4"/>
      <w:r w:rsidR="00814189" w:rsidRPr="001F0139">
        <w:rPr>
          <w:color w:val="365F91" w:themeColor="accent1" w:themeShade="BF"/>
        </w:rPr>
        <w:t>.</w:t>
      </w:r>
      <w:r w:rsidRPr="001F0139">
        <w:rPr>
          <w:color w:val="365F91" w:themeColor="accent1" w:themeShade="BF"/>
        </w:rPr>
        <w:t xml:space="preserve"> </w:t>
      </w:r>
      <w:bookmarkStart w:id="5" w:name="_Toc520894826"/>
      <w:bookmarkEnd w:id="4"/>
      <w:r w:rsidRPr="001F0139">
        <w:rPr>
          <w:color w:val="365F91" w:themeColor="accent1" w:themeShade="BF"/>
        </w:rPr>
        <w:t>Исторические сведения</w:t>
      </w:r>
      <w:bookmarkEnd w:id="5"/>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Первое русское поселение на берегу реки Камышлинки появилось в 1580 году, практически положив начало основанию ныне существующего села Камышла. В 1581 году к первым переселенцам прибыли 10 семей из </w:t>
      </w:r>
      <w:r w:rsidRPr="001F0139">
        <w:rPr>
          <w:rFonts w:ascii="Times New Roman" w:hAnsi="Times New Roman" w:cs="Times New Roman"/>
          <w:sz w:val="28"/>
          <w:szCs w:val="28"/>
        </w:rPr>
        <w:lastRenderedPageBreak/>
        <w:t>Башкирии. С начала 17 века здесь стали селиться Казанские татары. В то время деревню окружали болота, заросшие кустарником и камышом. Обилие камышей дало повод назвать речку Камышлинкой, а село Камышлой.</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Население увеличивалось, как за счет естественного прироста, так и за счет прибывающих переселенцев из других регионов. Переселенцы занимались земледелием, скотоводством и различными ремеслами. В 1768 году окрестности села Камышла обследовал оренбургский отряд экспедиции Российской Академии наук, возглавляемый доктором медицины и натуральной философии Лепехиным И.И.</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Сохранились предания о том, что в 1774 году Камышлу заняли отряды Емельяна Пугачева.</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1802 году Камышла вошла в состав Бугурусланского уезда. В селе было 55 дворов и проживало 280 человек. С 1 января 1851 года Бугурусланский уезд вошел в состав только что образованной Самарской губернии.</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Во время гражданской войны в окрестностях села Камышла проходили ожесточенные бои между Красной Армией и белочехами, затем и армией Колчака.</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1928 году был образован Байтуганский район с центром в селе Русский Байтуган. С 7 апреля 1929 года районный центр был переведен в село Камышла.</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Указом Президиума Верховного Совета РСФСР от 7 августа 1939 года Байтуганский район был переименован в Камышлинский район.</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 соответствии с Указом Президиума Верховного Совета РСФСР от 12 февраля 1963 года «Об укрупнении сельских районов и изменении подчиненности районов и </w:t>
      </w:r>
      <w:r w:rsidR="001F0139">
        <w:rPr>
          <w:rFonts w:ascii="Times New Roman" w:hAnsi="Times New Roman" w:cs="Times New Roman"/>
          <w:sz w:val="28"/>
          <w:szCs w:val="28"/>
        </w:rPr>
        <w:t>район</w:t>
      </w:r>
      <w:r w:rsidRPr="001F0139">
        <w:rPr>
          <w:rFonts w:ascii="Times New Roman" w:hAnsi="Times New Roman" w:cs="Times New Roman"/>
          <w:sz w:val="28"/>
          <w:szCs w:val="28"/>
        </w:rPr>
        <w:t>ов Куйбышевской области» Камышлинский район прекратил свое существование. Он был присоединен сначала к Похвистневскому, а затем к Клявлинскому району.</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Как административная единица муниципальный район Камышлинский образован в 1991 году в соответствии с указом Президиума Верховного Совета РФ от 04.03.1991 № 280. Административный центр - село Камышла.</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Исторической особенностью освоения территории поселения было то, что оно осуществлялось как русскими, так и коренным населением Поволжья: татарами, чувашами, мордвой. В данном поселении преобладают татары. Этим обусловлен и мусульманский образ жизни населения: наличие мечетей (их в поселении две), соблюдение некоторых религиозных обрядов, отсутствие свиноводства в сельском хозяйстве (за редким исключением). На территории поселения сохраняются национальные традиции и татарский язык. Для этого в образовательных учреждениях ведется преподавание родного языка, созданы национальные творческие коллективы, проводятся национальные праздники.</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Относительно состава сельского поселения Камышла можно отметить следующее: с. Камышла, д. Давлеткулово, п. Бузбаш, п. Юлдуз были объединены с 1928 г. по 1992 г. в Камышлинский сельский Совет; с 1992 г. по 1997 г. в Камышлинскую волость.</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Согласно Закону Самарской области от 25.02.2007 г. «Об образовании сельских поселений в пределах муниципального района Камышлинский Самарской области, наделении их соответствующим статусом и установлении их границ» образовано сельское поселение Камышла, с прежде входящими в него населенными пунктами.</w:t>
      </w:r>
    </w:p>
    <w:p w:rsidR="00D14EDE" w:rsidRPr="001F0139" w:rsidRDefault="00D14EDE" w:rsidP="001F0139">
      <w:pPr>
        <w:spacing w:after="0" w:line="360" w:lineRule="auto"/>
        <w:ind w:firstLine="709"/>
        <w:jc w:val="both"/>
        <w:rPr>
          <w:rFonts w:ascii="Times New Roman" w:hAnsi="Times New Roman" w:cs="Times New Roman"/>
          <w:sz w:val="28"/>
          <w:szCs w:val="28"/>
        </w:rPr>
      </w:pPr>
    </w:p>
    <w:p w:rsidR="00D14EDE" w:rsidRPr="001F0139" w:rsidRDefault="00814189" w:rsidP="001F0139">
      <w:pPr>
        <w:spacing w:after="0" w:line="360" w:lineRule="auto"/>
        <w:contextualSpacing/>
        <w:jc w:val="both"/>
        <w:outlineLvl w:val="1"/>
        <w:rPr>
          <w:rFonts w:ascii="Times New Roman" w:hAnsi="Times New Roman" w:cs="Times New Roman"/>
          <w:b/>
          <w:color w:val="365F91"/>
          <w:sz w:val="28"/>
          <w:szCs w:val="28"/>
        </w:rPr>
      </w:pPr>
      <w:bookmarkStart w:id="6" w:name="_Toc520894827"/>
      <w:r w:rsidRPr="001F0139">
        <w:rPr>
          <w:rFonts w:ascii="Times New Roman" w:hAnsi="Times New Roman" w:cs="Times New Roman"/>
          <w:b/>
          <w:color w:val="365F91"/>
          <w:sz w:val="28"/>
          <w:szCs w:val="28"/>
        </w:rPr>
        <w:t>3.2.</w:t>
      </w:r>
      <w:r w:rsidR="00D14EDE" w:rsidRPr="001F0139">
        <w:rPr>
          <w:rFonts w:ascii="Times New Roman" w:hAnsi="Times New Roman" w:cs="Times New Roman"/>
          <w:b/>
          <w:color w:val="365F91"/>
          <w:sz w:val="28"/>
          <w:szCs w:val="28"/>
        </w:rPr>
        <w:t>Экономико-географическое положение и природно-ресурсный потенциал</w:t>
      </w:r>
      <w:bookmarkEnd w:id="6"/>
      <w:r w:rsidR="00D14EDE" w:rsidRPr="001F0139">
        <w:rPr>
          <w:rFonts w:ascii="Times New Roman" w:hAnsi="Times New Roman" w:cs="Times New Roman"/>
          <w:b/>
          <w:color w:val="365F91"/>
          <w:sz w:val="28"/>
          <w:szCs w:val="28"/>
        </w:rPr>
        <w:t xml:space="preserve"> </w:t>
      </w:r>
    </w:p>
    <w:p w:rsidR="00D14EDE" w:rsidRPr="001F0139" w:rsidRDefault="00D14EDE" w:rsidP="001F0139">
      <w:pPr>
        <w:spacing w:after="0" w:line="360" w:lineRule="auto"/>
        <w:jc w:val="both"/>
        <w:rPr>
          <w:rFonts w:ascii="Times New Roman" w:hAnsi="Times New Roman" w:cs="Times New Roman"/>
          <w:sz w:val="28"/>
          <w:szCs w:val="28"/>
        </w:rPr>
      </w:pP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Согласно </w:t>
      </w:r>
      <w:r w:rsidRPr="001F0139">
        <w:rPr>
          <w:rFonts w:ascii="Times New Roman" w:hAnsi="Times New Roman" w:cs="Times New Roman"/>
          <w:noProof/>
          <w:lang w:eastAsia="ru-RU"/>
        </w:rPr>
        <w:drawing>
          <wp:anchor distT="0" distB="0" distL="114300" distR="114300" simplePos="0" relativeHeight="251660288" behindDoc="0" locked="0" layoutInCell="1" allowOverlap="1">
            <wp:simplePos x="0" y="0"/>
            <wp:positionH relativeFrom="column">
              <wp:posOffset>-305435</wp:posOffset>
            </wp:positionH>
            <wp:positionV relativeFrom="paragraph">
              <wp:posOffset>3192145</wp:posOffset>
            </wp:positionV>
            <wp:extent cx="3042285" cy="2332990"/>
            <wp:effectExtent l="19050" t="0" r="5715" b="0"/>
            <wp:wrapSquare wrapText="bothSides"/>
            <wp:docPr id="24" name="Рисунок 58" descr="Описание: Описание: Описание: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Описание: Описание: карта"/>
                    <pic:cNvPicPr>
                      <a:picLocks noChangeAspect="1" noChangeArrowheads="1"/>
                    </pic:cNvPicPr>
                  </pic:nvPicPr>
                  <pic:blipFill>
                    <a:blip r:embed="rId10" cstate="print"/>
                    <a:srcRect/>
                    <a:stretch>
                      <a:fillRect/>
                    </a:stretch>
                  </pic:blipFill>
                  <pic:spPr bwMode="auto">
                    <a:xfrm>
                      <a:off x="0" y="0"/>
                      <a:ext cx="3042285" cy="2332990"/>
                    </a:xfrm>
                    <a:prstGeom prst="rect">
                      <a:avLst/>
                    </a:prstGeom>
                    <a:noFill/>
                    <a:ln w="9525">
                      <a:noFill/>
                      <a:miter lim="800000"/>
                      <a:headEnd/>
                      <a:tailEnd/>
                    </a:ln>
                  </pic:spPr>
                </pic:pic>
              </a:graphicData>
            </a:graphic>
          </wp:anchor>
        </w:drawing>
      </w:r>
      <w:r w:rsidRPr="001F0139">
        <w:rPr>
          <w:rFonts w:ascii="Times New Roman" w:hAnsi="Times New Roman" w:cs="Times New Roman"/>
          <w:sz w:val="28"/>
          <w:szCs w:val="28"/>
        </w:rPr>
        <w:t xml:space="preserve">закону Самарской области «Об установлении границ муниципального района Камышлинский Самарской области» в </w:t>
      </w:r>
      <w:r w:rsidRPr="001F0139">
        <w:rPr>
          <w:rFonts w:ascii="Times New Roman" w:hAnsi="Times New Roman" w:cs="Times New Roman"/>
          <w:sz w:val="28"/>
          <w:szCs w:val="28"/>
        </w:rPr>
        <w:lastRenderedPageBreak/>
        <w:t>состав муниципального района Камышлинский входят 6 сельских поселений, в которые объединены 22 населённых пункта: Камышла, Ермаково, Балыкла, Байтуган, Новое Усманово, Старое Усманово.</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Камышлинский район расположен на северо-востоке Самарской области, в верхнем течении реки Сок (на правом берегу реки Сок в устье реки Камышлинка), в зоне лесостепи. На северо-западе район граничит с Клявлинским, на юге – Похвистневским, на западе – Исаклинским районами нашей области, на востоке – с Оренбургской областью. Расстояние до областного центра г.о. Самары - 185 км, до аэропорта Курумоч – 186 км, до ж/д станции Клявлино – 25 км., до ж/д станции Похвистнево – 55 км. </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Муниципальный район Камышлинский расположен на расстоянии 178 км от областного центра и 25 км до ближайшей железнодорожной станции «Клявлино».</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Административный центр района – село Камышла находится на расстоянии 185 км от областного центра.</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Территория района составляет 125,5 тыс. гектар (823,5 кв. км) – 2,3% от территории Самарской области. </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структуре земельного фонда 76% составляют земли сельскохозяйственного назначения, пашня – 42%, сенокосы и пастбища – 21%, 21% – земли лесного фонда, 1% – земли населенных пунктов (табл. 1.2.1).</w:t>
      </w:r>
    </w:p>
    <w:p w:rsidR="00D14EDE" w:rsidRPr="001F0139" w:rsidRDefault="00D14EDE" w:rsidP="001F0139">
      <w:pPr>
        <w:widowControl w:val="0"/>
        <w:spacing w:after="0" w:line="240" w:lineRule="auto"/>
        <w:rPr>
          <w:rFonts w:ascii="Times New Roman" w:eastAsia="Times New Roman" w:hAnsi="Times New Roman" w:cs="Times New Roman"/>
          <w:b/>
          <w:sz w:val="28"/>
          <w:szCs w:val="28"/>
        </w:rPr>
      </w:pPr>
      <w:r w:rsidRPr="001F0139">
        <w:rPr>
          <w:rFonts w:ascii="Times New Roman" w:eastAsia="Times New Roman" w:hAnsi="Times New Roman" w:cs="Times New Roman"/>
          <w:b/>
          <w:sz w:val="28"/>
          <w:szCs w:val="28"/>
        </w:rPr>
        <w:t xml:space="preserve">Таблица 1.2.1 - Структура земель муниципального района </w:t>
      </w:r>
    </w:p>
    <w:p w:rsidR="00D14EDE" w:rsidRPr="001F0139" w:rsidRDefault="00D14EDE" w:rsidP="001F0139">
      <w:pPr>
        <w:widowControl w:val="0"/>
        <w:spacing w:after="0" w:line="240" w:lineRule="auto"/>
        <w:rPr>
          <w:rFonts w:ascii="Times New Roman" w:eastAsia="Times New Roman" w:hAnsi="Times New Roman" w:cs="Times New Roman"/>
          <w:b/>
          <w:sz w:val="28"/>
          <w:szCs w:val="28"/>
        </w:rPr>
      </w:pPr>
      <w:r w:rsidRPr="001F0139">
        <w:rPr>
          <w:rFonts w:ascii="Times New Roman" w:eastAsia="Times New Roman" w:hAnsi="Times New Roman" w:cs="Times New Roman"/>
          <w:b/>
          <w:sz w:val="28"/>
          <w:szCs w:val="28"/>
        </w:rPr>
        <w:t>Камышлинский на 01.01.2017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7097"/>
        <w:gridCol w:w="1674"/>
      </w:tblGrid>
      <w:tr w:rsidR="00D14EDE" w:rsidRPr="001F0139" w:rsidTr="00077D58">
        <w:trPr>
          <w:jc w:val="center"/>
        </w:trPr>
        <w:tc>
          <w:tcPr>
            <w:tcW w:w="0" w:type="auto"/>
            <w:shd w:val="clear" w:color="auto" w:fill="365F91"/>
            <w:vAlign w:val="center"/>
          </w:tcPr>
          <w:p w:rsidR="00D14EDE" w:rsidRPr="001F0139" w:rsidRDefault="00D14EDE" w:rsidP="001F0139">
            <w:pPr>
              <w:tabs>
                <w:tab w:val="left" w:pos="1080"/>
              </w:tabs>
              <w:spacing w:after="0" w:line="240" w:lineRule="auto"/>
              <w:jc w:val="center"/>
              <w:rPr>
                <w:rFonts w:ascii="Times New Roman" w:eastAsia="Times New Roman" w:hAnsi="Times New Roman" w:cs="Times New Roman"/>
                <w:color w:val="FFFFFF"/>
                <w:sz w:val="24"/>
                <w:szCs w:val="24"/>
                <w:lang w:eastAsia="ru-RU"/>
              </w:rPr>
            </w:pPr>
            <w:r w:rsidRPr="001F0139">
              <w:rPr>
                <w:rFonts w:ascii="Times New Roman" w:eastAsia="Times New Roman" w:hAnsi="Times New Roman" w:cs="Times New Roman"/>
                <w:color w:val="FFFFFF"/>
                <w:sz w:val="24"/>
                <w:szCs w:val="24"/>
                <w:lang w:eastAsia="ru-RU"/>
              </w:rPr>
              <w:t>№ п/п</w:t>
            </w:r>
          </w:p>
        </w:tc>
        <w:tc>
          <w:tcPr>
            <w:tcW w:w="0" w:type="auto"/>
            <w:shd w:val="clear" w:color="auto" w:fill="376092"/>
            <w:vAlign w:val="center"/>
          </w:tcPr>
          <w:p w:rsidR="00D14EDE" w:rsidRPr="001F0139" w:rsidRDefault="00D14EDE" w:rsidP="001F0139">
            <w:pPr>
              <w:tabs>
                <w:tab w:val="left" w:pos="1080"/>
              </w:tabs>
              <w:spacing w:after="0" w:line="240" w:lineRule="auto"/>
              <w:jc w:val="center"/>
              <w:rPr>
                <w:rFonts w:ascii="Times New Roman" w:eastAsia="Times New Roman" w:hAnsi="Times New Roman" w:cs="Times New Roman"/>
                <w:color w:val="FFFFFF"/>
                <w:sz w:val="24"/>
                <w:szCs w:val="24"/>
                <w:lang w:eastAsia="ru-RU"/>
              </w:rPr>
            </w:pPr>
            <w:r w:rsidRPr="001F0139">
              <w:rPr>
                <w:rFonts w:ascii="Times New Roman" w:eastAsia="Times New Roman" w:hAnsi="Times New Roman" w:cs="Times New Roman"/>
                <w:color w:val="FFFFFF"/>
                <w:sz w:val="24"/>
                <w:szCs w:val="24"/>
                <w:lang w:eastAsia="ru-RU"/>
              </w:rPr>
              <w:t>Показатели</w:t>
            </w:r>
          </w:p>
        </w:tc>
        <w:tc>
          <w:tcPr>
            <w:tcW w:w="1674" w:type="dxa"/>
            <w:shd w:val="clear" w:color="auto" w:fill="365F91"/>
            <w:vAlign w:val="center"/>
          </w:tcPr>
          <w:p w:rsidR="00D14EDE" w:rsidRPr="001F0139" w:rsidRDefault="00D14EDE" w:rsidP="001F0139">
            <w:pPr>
              <w:tabs>
                <w:tab w:val="left" w:pos="1080"/>
              </w:tabs>
              <w:spacing w:after="0" w:line="240" w:lineRule="auto"/>
              <w:jc w:val="center"/>
              <w:rPr>
                <w:rFonts w:ascii="Times New Roman" w:eastAsia="Times New Roman" w:hAnsi="Times New Roman" w:cs="Times New Roman"/>
                <w:color w:val="FFFFFF"/>
                <w:sz w:val="24"/>
                <w:szCs w:val="24"/>
                <w:lang w:eastAsia="ru-RU"/>
              </w:rPr>
            </w:pPr>
            <w:r w:rsidRPr="001F0139">
              <w:rPr>
                <w:rFonts w:ascii="Times New Roman" w:eastAsia="Times New Roman" w:hAnsi="Times New Roman" w:cs="Times New Roman"/>
                <w:color w:val="FFFFFF"/>
                <w:sz w:val="24"/>
                <w:szCs w:val="24"/>
                <w:lang w:eastAsia="ru-RU"/>
              </w:rPr>
              <w:t>Общая площадь, га</w:t>
            </w:r>
          </w:p>
        </w:tc>
      </w:tr>
      <w:tr w:rsidR="00D14EDE" w:rsidRPr="001F0139" w:rsidTr="00077D58">
        <w:trPr>
          <w:jc w:val="center"/>
        </w:trPr>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w:t>
            </w:r>
          </w:p>
        </w:tc>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Земли сельскохозяйственного назначения</w:t>
            </w:r>
          </w:p>
        </w:tc>
        <w:tc>
          <w:tcPr>
            <w:tcW w:w="1674" w:type="dxa"/>
            <w:vAlign w:val="center"/>
          </w:tcPr>
          <w:p w:rsidR="00D14EDE" w:rsidRPr="001F013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62478</w:t>
            </w:r>
          </w:p>
        </w:tc>
      </w:tr>
      <w:tr w:rsidR="00D14EDE" w:rsidRPr="001F0139" w:rsidTr="00077D58">
        <w:trPr>
          <w:jc w:val="center"/>
        </w:trPr>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1.1</w:t>
            </w:r>
          </w:p>
        </w:tc>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Сельскохозяйственные угодья, из них:</w:t>
            </w:r>
          </w:p>
        </w:tc>
        <w:tc>
          <w:tcPr>
            <w:tcW w:w="1674" w:type="dxa"/>
            <w:vAlign w:val="center"/>
          </w:tcPr>
          <w:p w:rsidR="00D14EDE" w:rsidRPr="001F013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60672</w:t>
            </w:r>
          </w:p>
          <w:p w:rsidR="00D14EDE" w:rsidRPr="001F013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p>
        </w:tc>
      </w:tr>
      <w:tr w:rsidR="00D14EDE" w:rsidRPr="001F0139" w:rsidTr="00077D58">
        <w:trPr>
          <w:jc w:val="center"/>
        </w:trPr>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1.1.1</w:t>
            </w:r>
          </w:p>
        </w:tc>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Пашня</w:t>
            </w:r>
          </w:p>
        </w:tc>
        <w:tc>
          <w:tcPr>
            <w:tcW w:w="1674" w:type="dxa"/>
            <w:vAlign w:val="center"/>
          </w:tcPr>
          <w:p w:rsidR="00D14EDE" w:rsidRPr="001F013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34862</w:t>
            </w:r>
          </w:p>
        </w:tc>
      </w:tr>
      <w:tr w:rsidR="00D14EDE" w:rsidRPr="001F0139" w:rsidTr="00077D58">
        <w:trPr>
          <w:jc w:val="center"/>
        </w:trPr>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1.1.2</w:t>
            </w:r>
          </w:p>
        </w:tc>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сенокосы и пастбища</w:t>
            </w:r>
          </w:p>
        </w:tc>
        <w:tc>
          <w:tcPr>
            <w:tcW w:w="1674" w:type="dxa"/>
            <w:vAlign w:val="center"/>
          </w:tcPr>
          <w:p w:rsidR="00D14EDE" w:rsidRPr="001F013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17379</w:t>
            </w:r>
          </w:p>
        </w:tc>
      </w:tr>
      <w:tr w:rsidR="00D14EDE" w:rsidRPr="001F0139" w:rsidTr="00077D58">
        <w:trPr>
          <w:jc w:val="center"/>
        </w:trPr>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1.1.3</w:t>
            </w:r>
          </w:p>
        </w:tc>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многолетние насаждения (сады, ягодники, виноградники и другие насаждения)</w:t>
            </w:r>
          </w:p>
        </w:tc>
        <w:tc>
          <w:tcPr>
            <w:tcW w:w="1674" w:type="dxa"/>
            <w:vAlign w:val="center"/>
          </w:tcPr>
          <w:p w:rsidR="00D14EDE" w:rsidRPr="001F013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48</w:t>
            </w:r>
          </w:p>
        </w:tc>
      </w:tr>
      <w:tr w:rsidR="00D14EDE" w:rsidRPr="001F0139" w:rsidTr="00077D58">
        <w:trPr>
          <w:jc w:val="center"/>
        </w:trPr>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w:t>
            </w:r>
          </w:p>
        </w:tc>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Лесные земли</w:t>
            </w:r>
          </w:p>
        </w:tc>
        <w:tc>
          <w:tcPr>
            <w:tcW w:w="1674" w:type="dxa"/>
          </w:tcPr>
          <w:p w:rsidR="00D14EDE" w:rsidRPr="001F0139" w:rsidRDefault="00D14EDE"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17286</w:t>
            </w:r>
          </w:p>
        </w:tc>
      </w:tr>
      <w:tr w:rsidR="00D14EDE" w:rsidRPr="001F0139" w:rsidTr="00077D58">
        <w:trPr>
          <w:jc w:val="center"/>
        </w:trPr>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3</w:t>
            </w:r>
          </w:p>
        </w:tc>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Кустарники</w:t>
            </w:r>
          </w:p>
        </w:tc>
        <w:tc>
          <w:tcPr>
            <w:tcW w:w="1674" w:type="dxa"/>
          </w:tcPr>
          <w:p w:rsidR="00D14EDE" w:rsidRPr="001F0139" w:rsidRDefault="00D14EDE"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1143</w:t>
            </w:r>
          </w:p>
        </w:tc>
      </w:tr>
      <w:tr w:rsidR="00D14EDE" w:rsidRPr="001F0139" w:rsidTr="00077D58">
        <w:trPr>
          <w:jc w:val="center"/>
        </w:trPr>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4</w:t>
            </w:r>
          </w:p>
        </w:tc>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Земли застройки</w:t>
            </w:r>
          </w:p>
        </w:tc>
        <w:tc>
          <w:tcPr>
            <w:tcW w:w="1674" w:type="dxa"/>
          </w:tcPr>
          <w:p w:rsidR="00D14EDE" w:rsidRPr="001F0139" w:rsidRDefault="00D14EDE"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587</w:t>
            </w:r>
          </w:p>
        </w:tc>
      </w:tr>
      <w:tr w:rsidR="00D14EDE" w:rsidRPr="001F0139" w:rsidTr="00077D58">
        <w:trPr>
          <w:jc w:val="center"/>
        </w:trPr>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5</w:t>
            </w:r>
          </w:p>
        </w:tc>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Прочие земли</w:t>
            </w:r>
          </w:p>
        </w:tc>
        <w:tc>
          <w:tcPr>
            <w:tcW w:w="1674" w:type="dxa"/>
          </w:tcPr>
          <w:p w:rsidR="00D14EDE" w:rsidRPr="001F0139" w:rsidRDefault="00D14EDE"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854</w:t>
            </w:r>
          </w:p>
        </w:tc>
      </w:tr>
      <w:tr w:rsidR="00D14EDE" w:rsidRPr="001F0139" w:rsidTr="00077D58">
        <w:trPr>
          <w:jc w:val="center"/>
        </w:trPr>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p>
        </w:tc>
        <w:tc>
          <w:tcPr>
            <w:tcW w:w="0" w:type="auto"/>
          </w:tcPr>
          <w:p w:rsidR="00D14EDE" w:rsidRPr="001F013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Итого земель в административных границах:</w:t>
            </w:r>
          </w:p>
        </w:tc>
        <w:tc>
          <w:tcPr>
            <w:tcW w:w="1674" w:type="dxa"/>
            <w:vAlign w:val="center"/>
          </w:tcPr>
          <w:p w:rsidR="00D14EDE" w:rsidRPr="001F013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82348</w:t>
            </w:r>
          </w:p>
        </w:tc>
      </w:tr>
    </w:tbl>
    <w:p w:rsidR="00D14EDE" w:rsidRPr="001F0139" w:rsidRDefault="00D14EDE" w:rsidP="001F0139">
      <w:pPr>
        <w:spacing w:after="0" w:line="240" w:lineRule="auto"/>
        <w:jc w:val="both"/>
        <w:rPr>
          <w:rFonts w:ascii="Times New Roman" w:hAnsi="Times New Roman" w:cs="Times New Roman"/>
          <w:sz w:val="20"/>
          <w:szCs w:val="20"/>
        </w:rPr>
      </w:pPr>
      <w:r w:rsidRPr="001F0139">
        <w:rPr>
          <w:rFonts w:ascii="Times New Roman" w:hAnsi="Times New Roman" w:cs="Times New Roman"/>
          <w:sz w:val="20"/>
          <w:szCs w:val="20"/>
        </w:rPr>
        <w:t>Источник: Паспорт Камышлинского муниципального района 2016 год. Форма № 2. Здесь и далее аналитика ФГБОУ ВО «СГЭУ»</w:t>
      </w:r>
    </w:p>
    <w:p w:rsidR="00D14EDE" w:rsidRPr="001F0139" w:rsidRDefault="00D14EDE" w:rsidP="001F0139">
      <w:pPr>
        <w:spacing w:after="0" w:line="240" w:lineRule="auto"/>
        <w:jc w:val="both"/>
        <w:rPr>
          <w:rFonts w:ascii="Times New Roman" w:hAnsi="Times New Roman" w:cs="Times New Roman"/>
          <w:sz w:val="28"/>
          <w:szCs w:val="28"/>
        </w:rPr>
      </w:pP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Численность постоянного населения на начало 2017 года по данным Самарастат – 10,8 тыс. человек, плотность населения – 13,2 чел. на 1 кв. км. площади. </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Район соединён асфальтовыми дорогами с соседними районами области, другими регионами страны. Через район проходит железная дорога. Сообщение с областным центром осуществляется по автомобильной дороге федерального значения «Урал» (М-5) и автодороге территориального значения «Похвистнево - Камышла-Клявлино». Расстояние до федеральной автомобильной дороги «Урал» (М-5) – 5км. Транспортная связь с соседними населенными пунктами происходит по автомобильным дорогам общего пользования с твердым покрытием «Камышла – Давлеткулово», «Камышла – Бузбаш».</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Географическое положение муниципального района обусловливает действие двух противоречивых факторов развития территории: с одной стороны, расположение муниципального района на стратегической автомобильной магистрали является долгосрочным фактором, способствующим развитию территории, а также ее дальнейшей интеграции в хозяйственный комплекс России; с другой стороны, расположение муниципального образования на периферии Самарской области, его относительная удаленность от промышленных и культурных центров (178 км от Самары, 420 км от Оренбурга) в определенной степени препятствуют развитию территории, снижают её инвестиционную привлекательность.</w:t>
      </w:r>
    </w:p>
    <w:p w:rsidR="00D14EDE" w:rsidRPr="001F0139" w:rsidRDefault="00D14EDE" w:rsidP="001F0139">
      <w:pPr>
        <w:spacing w:after="0" w:line="360" w:lineRule="auto"/>
        <w:ind w:firstLine="709"/>
        <w:jc w:val="both"/>
        <w:rPr>
          <w:rFonts w:ascii="Times New Roman" w:hAnsi="Times New Roman" w:cs="Times New Roman"/>
          <w:sz w:val="28"/>
          <w:szCs w:val="28"/>
        </w:rPr>
      </w:pPr>
    </w:p>
    <w:p w:rsidR="00D14EDE" w:rsidRPr="001F0139" w:rsidRDefault="00D14EDE" w:rsidP="001F0139">
      <w:pPr>
        <w:spacing w:after="0" w:line="360" w:lineRule="auto"/>
        <w:contextualSpacing/>
        <w:jc w:val="both"/>
        <w:outlineLvl w:val="1"/>
        <w:rPr>
          <w:rFonts w:ascii="Times New Roman" w:hAnsi="Times New Roman" w:cs="Times New Roman"/>
          <w:b/>
          <w:color w:val="365F91"/>
          <w:sz w:val="28"/>
          <w:szCs w:val="28"/>
        </w:rPr>
      </w:pPr>
      <w:bookmarkStart w:id="7" w:name="_Toc520894828"/>
      <w:r w:rsidRPr="001F0139">
        <w:rPr>
          <w:rFonts w:ascii="Times New Roman" w:hAnsi="Times New Roman" w:cs="Times New Roman"/>
          <w:b/>
          <w:color w:val="365F91"/>
          <w:sz w:val="28"/>
          <w:szCs w:val="28"/>
        </w:rPr>
        <w:t>Природные ресурсы и экология</w:t>
      </w:r>
      <w:bookmarkEnd w:id="7"/>
    </w:p>
    <w:p w:rsidR="00D14EDE" w:rsidRPr="001F0139" w:rsidRDefault="00D14EDE" w:rsidP="001F0139">
      <w:pPr>
        <w:spacing w:after="0" w:line="360" w:lineRule="auto"/>
        <w:ind w:firstLine="709"/>
        <w:jc w:val="both"/>
        <w:rPr>
          <w:rFonts w:ascii="Times New Roman" w:hAnsi="Times New Roman" w:cs="Times New Roman"/>
          <w:sz w:val="28"/>
          <w:szCs w:val="28"/>
        </w:rPr>
      </w:pP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eastAsia="Times New Roman" w:hAnsi="Times New Roman" w:cs="Times New Roman"/>
          <w:b/>
          <w:i/>
          <w:color w:val="365F91"/>
          <w:sz w:val="28"/>
          <w:szCs w:val="28"/>
          <w:lang w:eastAsia="ru-RU"/>
        </w:rPr>
        <w:t>Климат.</w:t>
      </w:r>
      <w:r w:rsidRPr="001F0139">
        <w:rPr>
          <w:rFonts w:ascii="Times New Roman" w:hAnsi="Times New Roman" w:cs="Times New Roman"/>
          <w:sz w:val="28"/>
          <w:szCs w:val="28"/>
        </w:rPr>
        <w:t xml:space="preserve"> На территории муниципального района Камышлинский Самарской области преобладает континентальный климат умеренных широт </w:t>
      </w:r>
      <w:r w:rsidRPr="001F0139">
        <w:rPr>
          <w:rFonts w:ascii="Times New Roman" w:hAnsi="Times New Roman" w:cs="Times New Roman"/>
          <w:sz w:val="28"/>
          <w:szCs w:val="28"/>
        </w:rPr>
        <w:lastRenderedPageBreak/>
        <w:t>с холодной продолжительной зимой и теплым летом с довольно устойчивым жарким периодом в июне и июле.</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Возвышенное положение района и лесостепной ландшафт несколько умеряют летние температуры, вследствие чего они не достигают тех высоких температур, которые характерны для степной зоны Заволжья. Наиболее холодным месяцем является январь (ср. месячная температура ряда лет равна -14,6 градусов), но нередки случаи, когда наименьшая температура перемещается на февраль. Температура воздуха наиболее холодных суток обеспеченностью 98% -41ºС. </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Абсолютная минимальная температура воздуха холодного периода года достигает - 46ºС. Максимальная глубина промерзания почвы повторяемостью 1 раз в 10 лет составляет 75 см, 1 раз в 50 лет почва может промерзать на глубину 165 см. </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холодный период года в основном преобладают ветра южные, юго-восточные и юго-западные, ветры восточные и юго-восточные играют подчиненную роль. Однако, их следует принимать во внимание ввиду суховейного характера. Максимальная из средних скоростей ветра за январь 4,4м/с. Средняя скорость ветра за три наиболее холодных месяца 3,7 м/с. В теплый период преобладают ветра северо-западные, юго-западные и западные. Минимальная из средних скоростей ветра за июль составляет 2,6 м/с.</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теплый период года температура воздуха обеспеченностью 99% составляет +28,2ºС. Средняя температура наружного воздуха наиболее теплого месяца (июль) +19,2ºС. Абсолютная максимальная температура достигает +37ºС.</w:t>
      </w:r>
    </w:p>
    <w:p w:rsidR="00D14EDE" w:rsidRPr="001F0139" w:rsidRDefault="00D14EDE" w:rsidP="001F0139">
      <w:pPr>
        <w:spacing w:after="0" w:line="360" w:lineRule="auto"/>
        <w:ind w:firstLine="709"/>
        <w:jc w:val="both"/>
        <w:rPr>
          <w:rFonts w:ascii="Times New Roman" w:hAnsi="Times New Roman" w:cs="Times New Roman"/>
          <w:color w:val="000000"/>
          <w:sz w:val="28"/>
          <w:szCs w:val="28"/>
        </w:rPr>
      </w:pPr>
      <w:r w:rsidRPr="001F0139">
        <w:rPr>
          <w:rFonts w:ascii="Times New Roman" w:hAnsi="Times New Roman" w:cs="Times New Roman"/>
          <w:sz w:val="28"/>
          <w:szCs w:val="28"/>
        </w:rPr>
        <w:t xml:space="preserve">Переход среднесуточной температуры воздуха через 0ºС в сторону понижения осуществляется в середине октября. В это время появляется, но, как правило, тает первый снежный покров. В третьей декаде ноября устанавливается постоянный снежный покров, продолжительность залегания которого порядка 163 дня. Разрушения снежного покрова в среднем </w:t>
      </w:r>
      <w:r w:rsidRPr="001F0139">
        <w:rPr>
          <w:rFonts w:ascii="Times New Roman" w:hAnsi="Times New Roman" w:cs="Times New Roman"/>
          <w:sz w:val="28"/>
          <w:szCs w:val="28"/>
        </w:rPr>
        <w:lastRenderedPageBreak/>
        <w:t>отмечаются во второй декаде апреля. Окончательно снег сходит в середине апреля.</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Среднегодовое количество осадков составляет до 400 мм. Многолетние данные показывают, что распределение осадков в течение года весьма неравномерно. Наибольшее количество осадков (около 300мм) приходится на летние и осенние месяцы и только небольшая часть (114мм) их приходится на холодный период. В соответствии с небольшим количеством зимних осадков снеговой покров не достигает значительной высоты - от 36-45 см. Характерным является медленное накопление снега в начале зимы и быстрое таяние весной. </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eastAsia="Times New Roman" w:hAnsi="Times New Roman" w:cs="Times New Roman"/>
          <w:b/>
          <w:i/>
          <w:color w:val="365F91"/>
          <w:sz w:val="28"/>
          <w:szCs w:val="28"/>
          <w:lang w:eastAsia="ru-RU"/>
        </w:rPr>
        <w:t>Рельеф.</w:t>
      </w:r>
      <w:r w:rsidRPr="001F0139">
        <w:rPr>
          <w:rFonts w:ascii="Times New Roman" w:hAnsi="Times New Roman" w:cs="Times New Roman"/>
          <w:sz w:val="28"/>
          <w:szCs w:val="28"/>
        </w:rPr>
        <w:t xml:space="preserve"> Сельское поселение Камышла расположено в долине между двумя холмами (с восточной и западной стороны). Территория поселения представляет собой холмистую равнину, с повышением в северо-восточном и восточном направлениях, прорезанную многочисленными тальвегами. Абсолютные отметки колеблются от 104,9 до 197,5 м.</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Для Камышлинского района характерна сильная расчлененность рельефа (0,86 км/км</w:t>
      </w:r>
      <w:r w:rsidRPr="001F0139">
        <w:rPr>
          <w:rFonts w:ascii="Times New Roman" w:hAnsi="Times New Roman" w:cs="Times New Roman"/>
          <w:sz w:val="28"/>
          <w:szCs w:val="28"/>
          <w:vertAlign w:val="superscript"/>
        </w:rPr>
        <w:t>2</w:t>
      </w:r>
      <w:r w:rsidRPr="001F0139">
        <w:rPr>
          <w:rFonts w:ascii="Times New Roman" w:hAnsi="Times New Roman" w:cs="Times New Roman"/>
          <w:sz w:val="28"/>
          <w:szCs w:val="28"/>
        </w:rPr>
        <w:t xml:space="preserve">) с глубоко врезанными речными долинами, плоскими формами водоразделов и ступенчатыми водораздельными склонами. </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Особенностью рельефа района проектирования является асимметричное строение водоразделов, резкая крутизна склонов к долине основной реки Сок, а также рек: Байтуган, Сухая Окана, Телегас, Уксада. </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Территория района делится долиной реки Сок на южную (левобережную) и северную (правобережную) части, резко отличающиеся друг от друга по формам рельефа.</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Возвышенности, идущие вдоль правого берега р. Сок, являются отрогами Бугульминско-Белебеевской возвышенности и в границах Камышлинского района имеют высоту от 150 до 213 метров над уровнем моря. Севернее села Ерилкино располагается самая высокая точка района с отметкой 330 м над уровнем моря.</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Глубокие долины правых притоков реки Сок образуют водоразделы второго порядка в виде ряда волнистых перевалов, простирающихся с севера на юг на 18-20 км. Вершины перевалов обычно имеют вид неровных сыртов и возвышенностей в виде отдельных холмов или гряд, разделенных седлообразными впадинами, и редко выравниваются в плато.</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Рельеф левобережья р. Сок представляет собой узкое, постепенно понижающееся к юго-западу, плато водораздела рек Сок и Большой Кинель. Остальная часть территории района представлена водораздельными склонами, рассеченными речками и оврагами в меридиональном направлении. </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Вниз по течению р. Сок отметки рельефа постепенно понижаются, наиболее низкую отметку (95 м над уровнем моря) имеет долина р. Сок у села Камышла.</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eastAsia="Times New Roman" w:hAnsi="Times New Roman" w:cs="Times New Roman"/>
          <w:b/>
          <w:i/>
          <w:color w:val="365F91"/>
          <w:sz w:val="28"/>
          <w:szCs w:val="28"/>
          <w:lang w:eastAsia="ru-RU"/>
        </w:rPr>
        <w:t>Почвы.</w:t>
      </w:r>
      <w:r w:rsidRPr="001F0139">
        <w:rPr>
          <w:rFonts w:ascii="Times New Roman" w:hAnsi="Times New Roman" w:cs="Times New Roman"/>
          <w:sz w:val="28"/>
          <w:szCs w:val="28"/>
        </w:rPr>
        <w:t xml:space="preserve"> Главным природным богатством района являются черноземные почвы (43,3 тыс. га, среднее положение по доле земель с.-х. назначения среди муниципальных районов Самарской области – более 70%). </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Почвы поселения относятся к средне- и малогумусным. Преобладающие типы почв: сочетание черноземов выщелоченных типичных, в том числе типичных остаточно-карбонатных, часто смытых с участием серых лесных и черноземовыщелоченных остаточнолуговых. В силу развития процессов водной эрозии на пологих и слабопокатых склонах водоразделов сформировались слабосмытые черноземы. Среднесмытые черноземы, выделены на покатых склонах, сильно смытые черноземы – на сильнопокатых склонах.</w:t>
      </w:r>
      <w:r w:rsidRPr="001F0139">
        <w:rPr>
          <w:rFonts w:ascii="Times New Roman" w:hAnsi="Times New Roman" w:cs="Times New Roman"/>
        </w:rPr>
        <w:t xml:space="preserve"> </w:t>
      </w:r>
      <w:r w:rsidRPr="001F0139">
        <w:rPr>
          <w:rFonts w:ascii="Times New Roman" w:hAnsi="Times New Roman" w:cs="Times New Roman"/>
          <w:sz w:val="28"/>
          <w:szCs w:val="28"/>
        </w:rPr>
        <w:t>Широко распространены в низменных местах пойменные и наносные почвы. Имеются болотно-глинистые, иловато-глинистые, карбонатные, торфяно-болотные, щебневые и много других разновидностей, которых в районе насчитывается более 40. В долине р. Сок в виде небольших островков встречаются солонцы и солончаки.</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eastAsia="Times New Roman" w:hAnsi="Times New Roman" w:cs="Times New Roman"/>
          <w:b/>
          <w:i/>
          <w:color w:val="365F91"/>
          <w:sz w:val="28"/>
          <w:szCs w:val="28"/>
          <w:lang w:eastAsia="ru-RU"/>
        </w:rPr>
        <w:t>Лесные ресурсы.</w:t>
      </w:r>
      <w:r w:rsidRPr="001F0139">
        <w:rPr>
          <w:rFonts w:ascii="Times New Roman" w:hAnsi="Times New Roman" w:cs="Times New Roman"/>
          <w:sz w:val="28"/>
          <w:szCs w:val="28"/>
        </w:rPr>
        <w:t xml:space="preserve"> Пейзажи Камышлинского района представляют собой удивительное сочетание бесконечного приволья и уюта, дикости и гармонии. </w:t>
      </w:r>
      <w:r w:rsidRPr="001F0139">
        <w:rPr>
          <w:rFonts w:ascii="Times New Roman" w:hAnsi="Times New Roman" w:cs="Times New Roman"/>
          <w:sz w:val="28"/>
          <w:szCs w:val="28"/>
        </w:rPr>
        <w:lastRenderedPageBreak/>
        <w:t xml:space="preserve">Природа Камышлинского района богата уникальными уголками: живописные возвышенности, речная долина, поросшая камышом, трехсотлетние сосны. В 10 км от райцентра расположен чудом сохранившийся в практически первозданном виде со времен последнего межледникового периода участок древней тайги, называемый «Камышлинское чернолесье». Он представляет собой реликтовый смешанный лес, в котором соседствуют рядом друг с другом дубравы, осинники, березняки, сосновые боры. Не менее интересна и Камышлинская кленово-ясменниковая дубрава, особенностью которой является крайне редкое для мест лесостепной зоны смешение разнообразных древесных, кустарниковых и травянистых растений. Учеными здесь был обнаружен ряд исчезающих видов растений, занесенных в Красную книгу России, например, ясменник пахучий и майник двулистный из семейства орхидей. </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Лесопокрытая площадь района равна 20% и занимает 18000 га. Лесные ресурсы с подавляющим преобладанием лиственных пород деревьев в экономике территории в настоящее время используются крайне недостаточно. Для повышения экономической устойчивости муниципального района необходимо взаимодействие с соседними муниципальными образованиями по реализации совместных проектов.</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eastAsia="Times New Roman" w:hAnsi="Times New Roman" w:cs="Times New Roman"/>
          <w:b/>
          <w:i/>
          <w:color w:val="365F91"/>
          <w:sz w:val="28"/>
          <w:szCs w:val="28"/>
          <w:lang w:eastAsia="ru-RU"/>
        </w:rPr>
        <w:t>Животный мир.</w:t>
      </w:r>
      <w:r w:rsidRPr="001F0139">
        <w:rPr>
          <w:rFonts w:ascii="Times New Roman" w:hAnsi="Times New Roman" w:cs="Times New Roman"/>
          <w:sz w:val="28"/>
          <w:szCs w:val="28"/>
        </w:rPr>
        <w:t xml:space="preserve"> Камышлинского района насчитывает 78 видов млекопитающих, 285 видов птиц, 11 видов земноводных, столько же беспозвоночных. В целом фауна района довольно бедна, что объясняется сокращением площади лесов и целинных земель в степной части.</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eastAsia="Times New Roman" w:hAnsi="Times New Roman" w:cs="Times New Roman"/>
          <w:b/>
          <w:i/>
          <w:color w:val="365F91"/>
          <w:sz w:val="28"/>
          <w:szCs w:val="28"/>
          <w:lang w:eastAsia="ru-RU"/>
        </w:rPr>
        <w:t>Водные ресурсы.</w:t>
      </w:r>
      <w:r w:rsidRPr="001F0139">
        <w:rPr>
          <w:rFonts w:ascii="Times New Roman" w:hAnsi="Times New Roman" w:cs="Times New Roman"/>
          <w:b/>
          <w:i/>
          <w:sz w:val="28"/>
          <w:szCs w:val="28"/>
        </w:rPr>
        <w:t xml:space="preserve"> </w:t>
      </w:r>
      <w:r w:rsidRPr="001F0139">
        <w:rPr>
          <w:rFonts w:ascii="Times New Roman" w:hAnsi="Times New Roman" w:cs="Times New Roman"/>
          <w:sz w:val="28"/>
          <w:szCs w:val="28"/>
        </w:rPr>
        <w:t>Территория муниципального района Камышлинский относится к Средневолжскому гидрологическому району. Наиболее характерной фазой водного режима рек области является весеннее половодье, в период которого на реках правобережья Волги проходит 55-75% годового стока, в бассейнах южного левобережья – 85-100%.</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Все реки района питаются в основном за счет атмосферных осадков. Грунтовое питание невелико и не превышает 20% годового стока. Сток рек </w:t>
      </w:r>
      <w:r w:rsidRPr="001F0139">
        <w:rPr>
          <w:rFonts w:ascii="Times New Roman" w:hAnsi="Times New Roman" w:cs="Times New Roman"/>
          <w:sz w:val="28"/>
          <w:szCs w:val="28"/>
        </w:rPr>
        <w:lastRenderedPageBreak/>
        <w:t>формируется за счет зимних осадков, осадки теплого периода в питании рек принимают незначительное участие.</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С востока на запад на протяжении 80 км район пересекает река Сок, являющаяся левым притоком Волги и самой большой рекой района. Река Сок в пределах района принимает ряд притоков, из них крупнейшие – Уксуда (25км), Байтуган (21км), Камышлинка (18 км), Телегаз (19км), а также более мелкие – Сухая Окана, Мустай, Елга-Буй. На юге района протекают реки Ална (13 км) и Медведка. Общая длина всех рек района около 200 км. Сила падающей воды рек используется в хозяйстве района. На территории района имеется 9 озер, зеркальная площадь которых составляет 540 кв.м. В долинах р. Сок и его притоков имеется много пойменных болот, а на возвышенных местах – верховые болота, самое большое из них – Моховое. Общая площадь всех болот района составляет 245 га.</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eastAsia="Times New Roman" w:hAnsi="Times New Roman" w:cs="Times New Roman"/>
          <w:b/>
          <w:i/>
          <w:color w:val="365F91"/>
          <w:sz w:val="28"/>
          <w:szCs w:val="28"/>
          <w:lang w:eastAsia="ru-RU"/>
        </w:rPr>
        <w:t>Подземные воды.</w:t>
      </w:r>
      <w:r w:rsidRPr="001F0139">
        <w:rPr>
          <w:rFonts w:ascii="Times New Roman" w:hAnsi="Times New Roman" w:cs="Times New Roman"/>
          <w:b/>
          <w:i/>
          <w:color w:val="365F91"/>
          <w:sz w:val="28"/>
          <w:szCs w:val="28"/>
        </w:rPr>
        <w:t xml:space="preserve"> </w:t>
      </w:r>
      <w:r w:rsidRPr="001F0139">
        <w:rPr>
          <w:rFonts w:ascii="Times New Roman" w:hAnsi="Times New Roman" w:cs="Times New Roman"/>
          <w:sz w:val="28"/>
          <w:szCs w:val="28"/>
        </w:rPr>
        <w:t>Водную систему Камышлинского района, помимо крупных и мелких рек, озер, болот, ручьев, образуют многочисленные пресноводные родники, которые испокон веков поили население чистейшей водой. Камышлинцы чтут источники и оберегают их. Самый крупный родник – Озын-Тау (в переводе с татарского – «длинная гора») располагается на левом берегу реки Камышла, вблизи села Давлеткулово, и дает 600 литров воды в час. У подножия горы Умар-Тау в 112-м квартале Камышлинского лесничества бьет родник Шарлак, в долине реки Буз-Баш находится родник Медвежий колодец, оба они снабжают население питьевой водой (до 400 литров в час).</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Среди родников Камышлинского района есть и такие, воды которых содержат примесь чистой серы или ее солей и обладают лечебными свойствами. В долине реки Сок на 10 квадратных метрах из пластов глины на поверхность земли выбиваются сразу несколько минеральных источников, образующих систему, получившую название «Камышлинская Мацеста». Наиболее мощный из них расположен на левом берегу реки Якшыгул. Рядом </w:t>
      </w:r>
      <w:r w:rsidRPr="001F0139">
        <w:rPr>
          <w:rFonts w:ascii="Times New Roman" w:hAnsi="Times New Roman" w:cs="Times New Roman"/>
          <w:sz w:val="28"/>
          <w:szCs w:val="28"/>
        </w:rPr>
        <w:lastRenderedPageBreak/>
        <w:t xml:space="preserve">с селом Новое Усманово расположен еще один серный источник, пользующийся особой популярностью у бальнеологов. </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Возможно выведение и использование в лечебных целях подземных минеральных вод, содержащих: сероводород, бром, йод и другие микроэлементы. Глубина их залегания определяется геологическим строением территории и требует дополнительного изучения. Однако обоснование и разработки этих проектов тормозятся, так как требуют вложения больших финансовых ресурсов.</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eastAsia="Times New Roman" w:hAnsi="Times New Roman" w:cs="Times New Roman"/>
          <w:b/>
          <w:i/>
          <w:color w:val="365F91"/>
          <w:sz w:val="28"/>
          <w:szCs w:val="28"/>
          <w:lang w:eastAsia="ru-RU"/>
        </w:rPr>
        <w:t xml:space="preserve">Полезные ископаемые. </w:t>
      </w:r>
      <w:r w:rsidRPr="001F0139">
        <w:rPr>
          <w:rFonts w:ascii="Times New Roman" w:hAnsi="Times New Roman" w:cs="Times New Roman"/>
          <w:sz w:val="28"/>
          <w:szCs w:val="28"/>
        </w:rPr>
        <w:t>Территория характеризуется преимущественно слабым природно-ресурсным потенциалом. Недра района содержат углеводородное сырье – нефть (1,07 % от запасов по области). Выявлено 10 месторождений нефти. Нефть залегает на сравнительно небольшой глубине. Богатые нефтяные пласты приурочены в основном к толщам карбонатных осадков и песчаников коренных пермских пород каменноугольного периода, составляющих основу геологического строения района. Разрабатываемые нефтяные месторождения расположены в восточной части территории Камышлинского района. На существующее положение степень их освоенности не превышает 1%.</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По запасам нефти район занимает 22 место среди </w:t>
      </w:r>
      <w:r w:rsidR="001F0139">
        <w:rPr>
          <w:rFonts w:ascii="Times New Roman" w:hAnsi="Times New Roman" w:cs="Times New Roman"/>
          <w:sz w:val="28"/>
          <w:szCs w:val="28"/>
        </w:rPr>
        <w:t>район</w:t>
      </w:r>
      <w:r w:rsidRPr="001F0139">
        <w:rPr>
          <w:rFonts w:ascii="Times New Roman" w:hAnsi="Times New Roman" w:cs="Times New Roman"/>
          <w:sz w:val="28"/>
          <w:szCs w:val="28"/>
        </w:rPr>
        <w:t xml:space="preserve">ов и районов области. В 2014 году на территории района добычу нефти осуществляло ООО «Байтекс» на Байтуганском месторождении. В последние годы на территории района открыты Ямское и Улпанское (на границе с Исаклинским районом) месторождения нефти, имеющие небольшие запасы, и расположены две структуры, подготовленные к глубокому бурению – Ермаковская и Турнаевская. </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Кроме нефти к разряду энергетического сырья, имеющегося в недрах рассматриваемой территории, относится торф. Его запасы разведаны в 1941 году на территории с. Старое Ермаково. Месторождение не разрабатывается.</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На территории муниципального образования имеются также месторождения некоторых видов неметаллических полезных ископаемых </w:t>
      </w:r>
      <w:r w:rsidRPr="001F0139">
        <w:rPr>
          <w:rFonts w:ascii="Times New Roman" w:hAnsi="Times New Roman" w:cs="Times New Roman"/>
          <w:sz w:val="28"/>
          <w:szCs w:val="28"/>
        </w:rPr>
        <w:lastRenderedPageBreak/>
        <w:t xml:space="preserve">(глинистого сырья, гипса, карбонатных и битумсодержащих пород, бутового камня, галечника, горного песка; добывается горная масса для выработки алебастра, гипса, извести, щебня). При отделении Камышлинского района от Клявлинского, на его территории остались три месторождения, стоящие на государственном балансе: Бузбашское глинистого сырья, Бузбашское гипса и Бузбашское строительного камня. Добыча полезных ископаемых на них ведется с привлечением местных трудовых ресурсов. В районе имеется еще одно месторождение, не состоящее на балансе - Бузбашское битумсодержащих пород, по предварительной оценке пригодных для использования в строительстве автомобильных дорог. В настоящее время не разрабатывается. Выявлено Сок-Поляевское месторождение гипса, которое в настоящее время также не разрабатывается. </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 районе есть перспективы нахождения месторождений: глины кирпичной, глины керамзитовой, песков строительных. </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Известняки и доломиты здесь представлены в основном слабыми и средней крепости разностями, с прослоями глин и интереса в качестве строительного камня не представляют.</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Таким образом, в настоящее время в районе используются лишь углеводородные, строительные и сельскохозяйственные ресурсы. От использования углеводородных ресурсов район большой выгоды не получает, поскольку эксплуатация нефтяных месторождений ведется предприятиями, зарегистрированными в соседних районах. Использование строительного сырья и других видов минеральных ресурсов ведется не в полной мере из-за отсутствия финансовых ресурсов. </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районе расположены два геологических памятника природы - гора Куратас-Чагы и заброшенный карьер у села Новое Усманово.</w:t>
      </w:r>
    </w:p>
    <w:p w:rsidR="00D14EDE" w:rsidRPr="001F0139" w:rsidRDefault="00D14EDE" w:rsidP="001F0139">
      <w:pPr>
        <w:spacing w:after="0" w:line="360" w:lineRule="auto"/>
        <w:ind w:firstLine="709"/>
        <w:jc w:val="both"/>
        <w:rPr>
          <w:rFonts w:ascii="Times New Roman" w:hAnsi="Times New Roman" w:cs="Times New Roman"/>
          <w:bCs/>
          <w:sz w:val="28"/>
          <w:szCs w:val="28"/>
        </w:rPr>
      </w:pPr>
      <w:r w:rsidRPr="001F0139">
        <w:rPr>
          <w:rFonts w:ascii="Times New Roman" w:eastAsia="Times New Roman" w:hAnsi="Times New Roman" w:cs="Times New Roman"/>
          <w:b/>
          <w:i/>
          <w:color w:val="365F91"/>
          <w:sz w:val="28"/>
          <w:szCs w:val="28"/>
          <w:lang w:eastAsia="ru-RU"/>
        </w:rPr>
        <w:t>Экология.</w:t>
      </w:r>
      <w:r w:rsidRPr="001F0139">
        <w:rPr>
          <w:rFonts w:ascii="Times New Roman" w:hAnsi="Times New Roman" w:cs="Times New Roman"/>
          <w:b/>
          <w:i/>
          <w:color w:val="365F91"/>
        </w:rPr>
        <w:t xml:space="preserve"> </w:t>
      </w:r>
      <w:r w:rsidRPr="001F0139">
        <w:rPr>
          <w:rFonts w:ascii="Times New Roman" w:eastAsia="Times New Roman" w:hAnsi="Times New Roman" w:cs="Times New Roman"/>
          <w:sz w:val="28"/>
          <w:szCs w:val="28"/>
        </w:rPr>
        <w:t xml:space="preserve">Экологическую обстановку в муниципальном районе можно охарактеризовать как хорошую, сопровождаемую средним уровнем загрязнения атмосферного воздуха. Однако, снижаются текущие затраты на охрану окружающей среды, 17251 тыс. руб. </w:t>
      </w:r>
      <w:r w:rsidRPr="001F0139">
        <w:rPr>
          <w:rFonts w:ascii="Times New Roman" w:hAnsi="Times New Roman" w:cs="Times New Roman"/>
          <w:bCs/>
          <w:sz w:val="28"/>
          <w:szCs w:val="28"/>
        </w:rPr>
        <w:t xml:space="preserve">в 2015 году, 12169 тыс. руб. в </w:t>
      </w:r>
      <w:r w:rsidRPr="001F0139">
        <w:rPr>
          <w:rFonts w:ascii="Times New Roman" w:hAnsi="Times New Roman" w:cs="Times New Roman"/>
          <w:bCs/>
          <w:sz w:val="28"/>
          <w:szCs w:val="28"/>
        </w:rPr>
        <w:lastRenderedPageBreak/>
        <w:t>2016 году, 11989 тыс. руб. в 2018 году, что составляет 69% от уровня 2015 года.</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Основными источниками загрязнения атмосферы на территории муниципального района Камышлинский являются стационарные источники выбросов от технологических участков производственных объектов, дымовые трубы котельных и автомобиль</w:t>
      </w:r>
      <w:bookmarkStart w:id="8" w:name="OCRUncertain207"/>
      <w:bookmarkEnd w:id="8"/>
      <w:r w:rsidRPr="001F0139">
        <w:rPr>
          <w:rFonts w:ascii="Times New Roman" w:hAnsi="Times New Roman" w:cs="Times New Roman"/>
          <w:sz w:val="28"/>
          <w:szCs w:val="28"/>
        </w:rPr>
        <w:t>ный транспорт.</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 Камышлинском районе на 2016 год выделяют 7 стационарных источников, имеющих выбросы загрязняющих веществ в атмосферу, 10 и более тонн в год, а также с объемом разрешенного выброса от 5 до 10 тонн в год включительно при наличии в составе выбросов загрязняющих веществ 1 и (или) 2 класса опасности (рис. 1.3.1). </w:t>
      </w:r>
    </w:p>
    <w:p w:rsidR="00D14EDE" w:rsidRPr="001F0139" w:rsidRDefault="00A95D87" w:rsidP="001F0139">
      <w:pPr>
        <w:spacing w:after="0" w:line="240" w:lineRule="auto"/>
        <w:jc w:val="center"/>
        <w:rPr>
          <w:rFonts w:ascii="Times New Roman" w:hAnsi="Times New Roman" w:cs="Times New Roman"/>
          <w:sz w:val="28"/>
          <w:szCs w:val="28"/>
        </w:rPr>
      </w:pPr>
      <w:r>
        <w:rPr>
          <w:rFonts w:ascii="Times New Roman" w:hAnsi="Times New Roman" w:cs="Times New Roman"/>
          <w:noProof/>
        </w:rPr>
        <w:pict>
          <v:rect id="Rectangle 48" o:spid="_x0000_s1026" style="position:absolute;left:0;text-align:left;margin-left:78.5pt;margin-top:-.35pt;width:338.1pt;height:42.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" fillcolor="#365f91" strokecolor="#365f91">
            <v:textbox style="mso-next-textbox:#Rectangle 48">
              <w:txbxContent>
                <w:p w:rsidR="000B7CD7" w:rsidRPr="008B54AA" w:rsidRDefault="000B7CD7" w:rsidP="00D14EDE">
                  <w:pPr>
                    <w:spacing w:after="0" w:line="240" w:lineRule="auto"/>
                    <w:jc w:val="center"/>
                  </w:pPr>
                  <w:r>
                    <w:rPr>
                      <w:rFonts w:ascii="Times New Roman" w:hAnsi="Times New Roman"/>
                      <w:b/>
                      <w:bCs/>
                      <w:color w:val="FFFFFF"/>
                      <w:sz w:val="20"/>
                      <w:szCs w:val="20"/>
                    </w:rPr>
                    <w:t>В Камышлинском районе число объектов, имеющих выбросы загрязняющих веществ в атмосферу от стационарных источников, с 2014 года имеет тенденцию к росту</w:t>
                  </w:r>
                </w:p>
              </w:txbxContent>
            </v:textbox>
          </v:rect>
        </w:pict>
      </w:r>
      <w:r w:rsidR="00D14EDE" w:rsidRPr="001F0139">
        <w:rPr>
          <w:rFonts w:ascii="Times New Roman" w:hAnsi="Times New Roman" w:cs="Times New Roman"/>
          <w:noProof/>
          <w:lang w:eastAsia="ru-RU"/>
        </w:rPr>
        <w:drawing>
          <wp:inline distT="0" distB="0" distL="0" distR="0">
            <wp:extent cx="4293491" cy="2335530"/>
            <wp:effectExtent l="6095" t="6096" r="4444" b="5334"/>
            <wp:docPr id="172"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14EDE" w:rsidRPr="001F0139" w:rsidRDefault="00D14EDE"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sz w:val="20"/>
          <w:szCs w:val="20"/>
        </w:rPr>
        <w:t>Источник: Муниципальные районы Самарской области, 2017. Статистический сборник. Здесь и далее аналитика ФГБОУ ВО «СГЭУ»</w:t>
      </w:r>
    </w:p>
    <w:p w:rsidR="00D14EDE" w:rsidRPr="001F0139" w:rsidRDefault="00D14EDE" w:rsidP="001F0139">
      <w:pPr>
        <w:spacing w:after="0" w:line="240" w:lineRule="auto"/>
        <w:jc w:val="center"/>
        <w:rPr>
          <w:rFonts w:ascii="Times New Roman" w:eastAsia="Times New Roman" w:hAnsi="Times New Roman" w:cs="Times New Roman"/>
          <w:b/>
          <w:sz w:val="28"/>
          <w:szCs w:val="28"/>
        </w:rPr>
      </w:pPr>
      <w:r w:rsidRPr="001F0139">
        <w:rPr>
          <w:rFonts w:ascii="Times New Roman" w:eastAsia="Times New Roman" w:hAnsi="Times New Roman" w:cs="Times New Roman"/>
          <w:b/>
          <w:sz w:val="28"/>
          <w:szCs w:val="28"/>
        </w:rPr>
        <w:t>Рисунок 1.3.1 – Число объектов Камышлинского района, имеющих выбросы загрязняющих веществ в атмосферу от стационарных источников, единиц</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Химический состав выбросов от промобъектов района Камышлинский представлен преимущественно следующими веществами: углеводороды, сероводород, диоксид серы, диоксид азота, оксид углерода, бенз(а)пирен, бензин нефтяной, сажа, пыль древесная.</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По данным 2016 года количество загрязняющих веществ, отходящих от всех источников составляет 2,2 тыс. тонн (по экологическому паспорту территории 2013 года - без очистки). При этом до 2015 года наблюдалась динамика снижения выбросов по сравнению с 2009-2010 годами (рис. 1.3.2).</w:t>
      </w:r>
    </w:p>
    <w:p w:rsidR="00D14EDE" w:rsidRPr="001F0139" w:rsidRDefault="00A95D87" w:rsidP="001F0139">
      <w:pPr>
        <w:spacing w:after="0" w:line="360" w:lineRule="auto"/>
        <w:ind w:firstLine="567"/>
        <w:jc w:val="center"/>
        <w:rPr>
          <w:rFonts w:ascii="Times New Roman" w:hAnsi="Times New Roman" w:cs="Times New Roman"/>
          <w:sz w:val="28"/>
          <w:szCs w:val="28"/>
          <w:lang w:val="en-US"/>
        </w:rPr>
      </w:pPr>
      <w:r>
        <w:rPr>
          <w:rFonts w:ascii="Times New Roman" w:hAnsi="Times New Roman" w:cs="Times New Roman"/>
          <w:noProof/>
        </w:rPr>
        <w:lastRenderedPageBreak/>
        <w:pict>
          <v:rect id="_x0000_s1027" style="position:absolute;left:0;text-align:left;margin-left:78.5pt;margin-top:.15pt;width:338.1pt;height:32.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" fillcolor="#365f91" strokecolor="#365f91">
            <v:textbox>
              <w:txbxContent>
                <w:p w:rsidR="000B7CD7" w:rsidRPr="00053AE0" w:rsidRDefault="000B7CD7" w:rsidP="00D14EDE">
                  <w:pPr>
                    <w:spacing w:after="0" w:line="240" w:lineRule="auto"/>
                    <w:jc w:val="center"/>
                    <w:rPr>
                      <w:rFonts w:ascii="Times New Roman Полужирный" w:hAnsi="Times New Roman Полужирный"/>
                      <w:b/>
                      <w:bCs/>
                      <w:color w:val="FFFFFF"/>
                      <w:sz w:val="20"/>
                      <w:szCs w:val="20"/>
                    </w:rPr>
                  </w:pPr>
                  <w:r w:rsidRPr="00425A32">
                    <w:rPr>
                      <w:rFonts w:ascii="Times New Roman Полужирный" w:hAnsi="Times New Roman Полужирный"/>
                      <w:b/>
                      <w:bCs/>
                      <w:color w:val="FFFFFF"/>
                      <w:sz w:val="20"/>
                      <w:szCs w:val="20"/>
                    </w:rPr>
                    <w:t xml:space="preserve">В Камышлинском районе выбросы загрязняющих веществ в атмосферу </w:t>
                  </w:r>
                  <w:r w:rsidRPr="00053AE0">
                    <w:rPr>
                      <w:rFonts w:ascii="Times New Roman Полужирный" w:hAnsi="Times New Roman Полужирный"/>
                      <w:b/>
                      <w:bCs/>
                      <w:color w:val="FFFFFF"/>
                      <w:sz w:val="20"/>
                      <w:szCs w:val="20"/>
                    </w:rPr>
                    <w:t>в последние годы нестабильны</w:t>
                  </w:r>
                </w:p>
              </w:txbxContent>
            </v:textbox>
          </v:rect>
        </w:pict>
      </w:r>
      <w:r w:rsidR="00D14EDE" w:rsidRPr="001F0139">
        <w:rPr>
          <w:rFonts w:ascii="Times New Roman" w:hAnsi="Times New Roman" w:cs="Times New Roman"/>
          <w:noProof/>
          <w:lang w:eastAsia="ru-RU"/>
        </w:rPr>
        <w:drawing>
          <wp:inline distT="0" distB="0" distL="0" distR="0">
            <wp:extent cx="4297680" cy="2334895"/>
            <wp:effectExtent l="0" t="0" r="0" b="0"/>
            <wp:docPr id="176"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14EDE" w:rsidRPr="001F0139" w:rsidRDefault="00D14EDE" w:rsidP="001F0139">
      <w:pPr>
        <w:spacing w:after="0" w:line="240" w:lineRule="auto"/>
        <w:jc w:val="center"/>
        <w:rPr>
          <w:rFonts w:ascii="Times New Roman" w:hAnsi="Times New Roman" w:cs="Times New Roman"/>
          <w:noProof/>
          <w:lang w:eastAsia="ru-RU"/>
        </w:rPr>
      </w:pPr>
      <w:r w:rsidRPr="001F0139">
        <w:rPr>
          <w:rFonts w:ascii="Times New Roman" w:eastAsia="Times New Roman" w:hAnsi="Times New Roman" w:cs="Times New Roman"/>
          <w:b/>
          <w:sz w:val="28"/>
          <w:szCs w:val="28"/>
        </w:rPr>
        <w:t>Рисунок 1.3.2 – Выбросы загрязняющих веществ в атмосферу в Камышлинском муниципальном районе 2006-2016 гг., тыс. тонн</w:t>
      </w:r>
    </w:p>
    <w:p w:rsidR="00D14EDE" w:rsidRPr="001F0139" w:rsidRDefault="00D14EDE" w:rsidP="001F0139">
      <w:pPr>
        <w:spacing w:after="0" w:line="360" w:lineRule="auto"/>
        <w:ind w:firstLine="709"/>
        <w:jc w:val="both"/>
        <w:rPr>
          <w:rFonts w:ascii="Times New Roman" w:hAnsi="Times New Roman" w:cs="Times New Roman"/>
          <w:sz w:val="28"/>
          <w:szCs w:val="28"/>
        </w:rPr>
      </w:pP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Анализ данных статистической отчетности прошлых лет по производственным объектам муниципального района Камышлинский показал, что наибольший вклад в загрязнение атмосферного воздуха вносят предприятия нефтедобычи: ОАО «Самараинвестнефть» и ООО «Байтекс» (основные загрязняющие вещества - диоксид серы и углеводороды (летучие органические соединения).</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Теплоснабжение существующей жилой застройки в населенных пунктах Камышлинского района решается от автономных (встроенных, пристроенных модулей) котельных на газовом топливе. Основными загрязняющими веществами, поступающими в атмосферу от источников теплоснабжения, являются диоксид азота и окись углерода. Наиболее токсичным из названных ингредиентов является диоксид азота, который относится к третьему классу опасности (см. ГН 2.1.6.1983-05 «Предельно допустимые концентрации (ПДК) загрязняющих веществ в атмосферном воздухе населенных мест»). </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Загрязнение атмосферного воздуха от автотранспорта в наибольшей степени проявляется в зоне влияния федеральной автодороги «Москва-Челябинск-Урал» (М5)». В выхлопных газах автомобилей содержится более 200 различных соединений - продуктов полного и неполного сгорания топлива, основные из них: окислы азота, сернистый ангидрид, окись </w:t>
      </w:r>
      <w:r w:rsidRPr="001F0139">
        <w:rPr>
          <w:rFonts w:ascii="Times New Roman" w:hAnsi="Times New Roman" w:cs="Times New Roman"/>
          <w:sz w:val="28"/>
          <w:szCs w:val="28"/>
        </w:rPr>
        <w:lastRenderedPageBreak/>
        <w:t>углерода, взвешенные вещества, сажа, соединения свинца, углеводороды различных групп (в основном альдегиды, полициклические ароматические углеводороды), наиболее токсичным среди которых является бенз(а)пирен и др.</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Кроме загрязнения окружающей среды токсичными выхлопными газами, автомобиль добавляет не менее опасные для здоровья человека резиновую пыль и летучие вещества - продукты износа шин. Мелкая резиновая пыль может очень долгое время сохраняться на поверхности дорожного покрытия и на почве, поднимаясь в сухую погоду в воздух и попадая в органы дыхания, где она может оседать и вызвать аллергическую реакцию.</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виду того, что не все внутриквартальные улицы в населенных пунктах имеют асфальтовое покрытие, может отмечаться повышенный уровень запыленности и загрязненности атмосферного воздуха. Для снижения негативного воздействия автотранспорта на окружающую среду необходимо предусмотреть придорожное защитное озеленение.</w:t>
      </w:r>
    </w:p>
    <w:p w:rsidR="00D14EDE" w:rsidRPr="001F0139" w:rsidRDefault="00D14EDE"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Промышленные предприятия и транспорт, загрязняя атмосферный воздух, одновременно оказывают негативное воздействие на почвы, поверхностные и подземные воды, растительность и животный мир и, как следствие – на здоровье человека.</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F0139">
        <w:rPr>
          <w:rFonts w:ascii="Times New Roman" w:eastAsia="Times New Roman" w:hAnsi="Times New Roman" w:cs="Times New Roman"/>
          <w:sz w:val="28"/>
          <w:szCs w:val="28"/>
          <w:lang w:eastAsia="ru-RU"/>
        </w:rPr>
        <w:t>Основными видами водопользования в Камышлинском районе являются: рекреация, рыболовство, полив о</w:t>
      </w:r>
      <w:r w:rsidR="001F0139">
        <w:rPr>
          <w:rFonts w:ascii="Times New Roman" w:eastAsia="Times New Roman" w:hAnsi="Times New Roman" w:cs="Times New Roman"/>
          <w:sz w:val="28"/>
          <w:szCs w:val="28"/>
          <w:lang w:eastAsia="ru-RU"/>
        </w:rPr>
        <w:t>район</w:t>
      </w:r>
      <w:r w:rsidRPr="001F0139">
        <w:rPr>
          <w:rFonts w:ascii="Times New Roman" w:eastAsia="Times New Roman" w:hAnsi="Times New Roman" w:cs="Times New Roman"/>
          <w:sz w:val="28"/>
          <w:szCs w:val="28"/>
          <w:lang w:eastAsia="ru-RU"/>
        </w:rPr>
        <w:t xml:space="preserve">ов и отведение различных категорий сточных вод. Главными причинами загрязнения поверхностных водных объектов в границах территории района является отсутствие системы централизованной канализации хозяйственно-бытовых сточных вод и отсутствие централизованной системы отвода ливневых и талых вод. Смыв загрязняющих веществ с территорий жилых и промышленных зон происходит в пруды, овраги, копани, - имеющие гидравлическую связь с реками. </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F0139">
        <w:rPr>
          <w:rFonts w:ascii="Times New Roman" w:eastAsia="Times New Roman" w:hAnsi="Times New Roman" w:cs="Times New Roman"/>
          <w:sz w:val="28"/>
          <w:szCs w:val="28"/>
          <w:lang w:eastAsia="ru-RU"/>
        </w:rPr>
        <w:lastRenderedPageBreak/>
        <w:t>В границах Камышлинского района КОС имеются только в села Камышла.</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F0139">
        <w:rPr>
          <w:rFonts w:ascii="Times New Roman" w:eastAsia="Times New Roman" w:hAnsi="Times New Roman" w:cs="Times New Roman"/>
          <w:sz w:val="28"/>
          <w:szCs w:val="28"/>
          <w:lang w:eastAsia="ru-RU"/>
        </w:rPr>
        <w:t>Состояние действующих КОС неудовлетворительное, степень очистки низкая, загруженность – 100 %, необходимо строительство новых очистных сооружений.</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F0139">
        <w:rPr>
          <w:rFonts w:ascii="Times New Roman" w:eastAsia="Times New Roman" w:hAnsi="Times New Roman" w:cs="Times New Roman"/>
          <w:sz w:val="28"/>
          <w:szCs w:val="28"/>
          <w:lang w:eastAsia="ru-RU"/>
        </w:rPr>
        <w:t>Смыв загрязняющих веществ с территорий жилых зон и производственных площадок промышленных предприятий происходит в основном в систему водосбора рек Сок, Камышла и Байтуган.</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F0139">
        <w:rPr>
          <w:rFonts w:ascii="Times New Roman" w:eastAsia="Times New Roman" w:hAnsi="Times New Roman" w:cs="Times New Roman"/>
          <w:sz w:val="28"/>
          <w:szCs w:val="28"/>
          <w:lang w:eastAsia="ru-RU"/>
        </w:rPr>
        <w:t>Согласно экологическому паспорту 2013 года, характерными загрязняющими веществами являлись сульфаты, ХПК, легкоокисляемые органические вещества, соединения меди и фенолы. Наблюдался рост среднегодовой концентрации соединений меди, уменьшение загрязнение загрязнения воды соединениями марганца, среднегодовое содержание трудноокисляемых органических веществ (по ХПК) варьировало в пределах 16-29 мг/л. Среднегодовое содержание хлорорганических пестицидов в обоих створах не превышало условно установленную норму. Максимальное содержание гамма – ГХЦГ превышало норму в 2 раза (2 створ). Минимальное содержание кислорода было 9 мг/л.</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F0139">
        <w:rPr>
          <w:rFonts w:ascii="Times New Roman" w:eastAsia="Times New Roman" w:hAnsi="Times New Roman" w:cs="Times New Roman"/>
          <w:sz w:val="28"/>
          <w:szCs w:val="28"/>
          <w:lang w:eastAsia="ru-RU"/>
        </w:rPr>
        <w:t>Река Сок относится к водоему рыбохозяйственного значения, вода которого должна быть не ниже II-го класса качества. Существующий уровень загрязнения воды р. Сок (</w:t>
      </w:r>
      <w:r w:rsidRPr="001F0139">
        <w:rPr>
          <w:rFonts w:ascii="Times New Roman" w:eastAsia="Times New Roman" w:hAnsi="Times New Roman" w:cs="Times New Roman"/>
          <w:sz w:val="28"/>
          <w:szCs w:val="28"/>
          <w:lang w:val="en-US" w:eastAsia="ru-RU"/>
        </w:rPr>
        <w:t>IV</w:t>
      </w:r>
      <w:r w:rsidRPr="001F0139">
        <w:rPr>
          <w:rFonts w:ascii="Times New Roman" w:eastAsia="Times New Roman" w:hAnsi="Times New Roman" w:cs="Times New Roman"/>
          <w:sz w:val="28"/>
          <w:szCs w:val="28"/>
          <w:lang w:eastAsia="ru-RU"/>
        </w:rPr>
        <w:t>а) представляет опасность для состояния ее экосистем, которые в таких условиях неизбежно подвергаются негативным изменениям с тенденцией к истощению рыбных запасов.</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Основными причинами, оказывающими влияние на загрязнение почв и подземных вод населенных территорий, являются: отсутствие организации вывоза бытовых отходов с территорий частных домовладений; возникновение стихийных свалок вокруг дачных поселков и садовых товариществ; отсутствие организованных мест выгула домашних животных; несоблюдение утвержденного порядка захоронения трупов домашних животных; увеличение числа не канализованных объектов мелкой розничной </w:t>
      </w:r>
      <w:r w:rsidRPr="001F0139">
        <w:rPr>
          <w:rFonts w:ascii="Times New Roman" w:eastAsia="Times New Roman" w:hAnsi="Times New Roman" w:cs="Times New Roman"/>
          <w:color w:val="000000"/>
          <w:sz w:val="28"/>
          <w:szCs w:val="28"/>
          <w:lang w:eastAsia="ru-RU"/>
        </w:rPr>
        <w:lastRenderedPageBreak/>
        <w:t>торговли; недостаточное количество общественных туалетов; недостаточное количество оборудованных сливных станций для приема жидких бытовых отходов; отставание развития канализационных сетей от строительства в целом; отсутствие утвержденных суточных нормативов образования жидких и твердых бытовых отходов от частного сектора; недостаточное количество свободных площадей для размещения объектов по переработке (утилизации) отходов.</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Значимыми источниками негативного воздействия на экологическое состояние межселенных территорий в границах района являются разрабатываемые нефтяные месторождения со всей сопутствующей инфраструктурой: скважины, сеть технологических, межпромысловых, промысловых и транзитных трубопроводов и коллекторов, водоводов и продуктопроводов, нефтеочистительные и нефтеперекачивающие станции и прочее. </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Нефть, нефтяной и буровые шламы, сточные воды, содержащие различные химические соединения негативно воздействуют на воздух, воду, почву, растительный и животный мир, на человека. Радиус воздействия на природную среду, как правило, значительно превышает границы месторождений, а глубина техногенного воздействия от нефтедобычи может достигать 3,5 км.</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Прохождение газо - и нефтепроводов сопровождается загрязнением территории в результате утечки газа и нефти через негерметичные соединения трубопроводов, при выполнении сливно-наливных операций или развитии аварийных ситуаций. </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На загрязнённых нефтью участках ухудшаются водно-физические свойства почв, изменяется рН, отмечается хлоридно-натриевое засоление, следовательно, наносится вред растительности и почвенным микроорганизмам. Проникая в нижележащие слои почво-грунтов, нефтяное загрязнение может достигать подземных водоносных горизонтов.</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lastRenderedPageBreak/>
        <w:t>Мощное воздействие на среду оказывают сельскохозяйственные объекты. В частности, серьезным источником загрязнения почв, подземных и поверхностных вод являются стоки и навоз животноводческих предприятий и ферм, а также земледелие, сопровождаемое внесением удобрений и ядохимикатов.</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Выпас скота в водоохранных зонах рек и водоёмов неизбежно приводит к уничтожению пойменной растительности, загрязнению воды рек, озер, прудов и водохранилищ навозосодержащими стоками, что представляет опасность для сохранения нормативных показателей качества поверхностных вод, почв и равновесного состояния прибрежных и водных экосистем в целом, а значит, может отразиться на здоровье населения.</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Почвы в зоне прохождения автомобильных дорог подвергаются загрязнению соединениями тяжелых металлов, дорожной и резиновой пылью. Потери ГСМ от ходовой части автотранспортных средств и поступление бытового мусора на придорожную полосу оказывает негативное влияние на состояние окружающей среды в целом. </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Неудовлетворительное состояние канализационных сетей м.р. Камышлинский обуславливает возможность загрязнения подземных вод, загрязнение и переувлажнение почв, вследствие утечек из водонесущих коммуникаций.</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Значительную опасность для экологического состояния территорий представляют скотомогильники и стихийные свалки бытовых отходов: на территории муниципального района Камышлинский насчитывается 10 скотомогильников (из них 3 действующих и 7 – недействующих), которые все не соответствуют ветеринарно-санитарным правилам; несанкционированные свалки в с. Камышла, с. Старое Ермаково, с. Старая Балыкла, с. Новое Усманово, с. Старое Усманово, с. Татарский Байтуган, с. Никиткино. Полигон ТБО р.ц. Камышла запроектирован, но строительство еще не начато.</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lastRenderedPageBreak/>
        <w:t xml:space="preserve">Источники негативного влияния на геологическую среду могут размещаться в пределах распространения подземных вод незащищенных (I категория защищенности), слабо защищенных (II категория защищенности) или средне защищенных (III-IV категория защищенности) от загрязнения с поверхности. </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I категория защищенности подземных вод, как правило, приурочена к речным долинам, II - к надпойменным террасам, III-IV - к склонам речных долин. На территориях распространения подземных вод I-IV категорий защищенности нельзя допускать устройства скотомогильников, хранилищ промотходов, ядохимикатов, удобрений, сброса промышленных и хозяйственно-бытовых сточных вод. На сегодняшний день многие объекты промышленной и сельскохозяйственной инфраструктуры размещены с нарушением выше перечисленных требований, что создает потенциальную опасность загрязнения подземных вод, а, следовательно, загрязнение поверхностных водных объектов в местах разгрузки подземных водоносных горизонтов. Таким образом, затрудняется обеспечение населения водой питьевого качества, так как для проектируемой территории хозяйственно-питьевое водоснабжение населения муниципального района Камышлинский осуществляется только из подземных водозаборов. Положение усугубляется изношенностью оборудования и сетей централизованного водоснабжения. </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Санитарное состояние большинства родников удовлетворительное. 20 родников в санитарно-гигиеническом отношении неблагополучны, так как находятся около жилых или хозяйственных построек, около о</w:t>
      </w:r>
      <w:r w:rsidR="001F0139">
        <w:rPr>
          <w:rFonts w:ascii="Times New Roman" w:eastAsia="Times New Roman" w:hAnsi="Times New Roman" w:cs="Times New Roman"/>
          <w:color w:val="000000"/>
          <w:sz w:val="28"/>
          <w:szCs w:val="28"/>
          <w:lang w:eastAsia="ru-RU"/>
        </w:rPr>
        <w:t>район</w:t>
      </w:r>
      <w:r w:rsidRPr="001F0139">
        <w:rPr>
          <w:rFonts w:ascii="Times New Roman" w:eastAsia="Times New Roman" w:hAnsi="Times New Roman" w:cs="Times New Roman"/>
          <w:color w:val="000000"/>
          <w:sz w:val="28"/>
          <w:szCs w:val="28"/>
          <w:lang w:eastAsia="ru-RU"/>
        </w:rPr>
        <w:t>ов или проезжей части дорог. Вблизи нескольких родников производится выпас скота, несколько родников замусорены, 6 родников заболочены, один родник расположен в пойме и затапливается в паводок.</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color w:val="000000"/>
          <w:sz w:val="28"/>
          <w:szCs w:val="28"/>
          <w:lang w:eastAsia="ru-RU"/>
        </w:rPr>
        <w:t xml:space="preserve">Причинами ухудшения качества воды являются: загрязнение воды в распределительной сети в связи с изношенностью и отсутствием проведения капитальных ремонтов трубопроводов, несвоевременное проведение очистки </w:t>
      </w:r>
      <w:r w:rsidRPr="001F0139">
        <w:rPr>
          <w:rFonts w:ascii="Times New Roman" w:eastAsia="Times New Roman" w:hAnsi="Times New Roman" w:cs="Times New Roman"/>
          <w:color w:val="000000"/>
          <w:sz w:val="28"/>
          <w:szCs w:val="28"/>
          <w:lang w:eastAsia="ru-RU"/>
        </w:rPr>
        <w:lastRenderedPageBreak/>
        <w:t xml:space="preserve">и дезинфекции водонапорных башен, накопительных резервуаров и водопроводной сети. </w:t>
      </w:r>
    </w:p>
    <w:p w:rsidR="00D14EDE" w:rsidRPr="001F013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4D4A30" w:rsidRPr="001F0139" w:rsidRDefault="004D4A30" w:rsidP="001F0139">
      <w:pPr>
        <w:spacing w:after="0" w:line="360" w:lineRule="auto"/>
        <w:contextualSpacing/>
        <w:jc w:val="both"/>
        <w:outlineLvl w:val="1"/>
        <w:rPr>
          <w:rFonts w:ascii="Times New Roman" w:hAnsi="Times New Roman" w:cs="Times New Roman"/>
          <w:b/>
          <w:color w:val="365F91"/>
          <w:sz w:val="28"/>
          <w:szCs w:val="28"/>
        </w:rPr>
      </w:pPr>
      <w:bookmarkStart w:id="9" w:name="bookmark7"/>
      <w:r w:rsidRPr="001F0139">
        <w:rPr>
          <w:rFonts w:ascii="Times New Roman" w:hAnsi="Times New Roman" w:cs="Times New Roman"/>
          <w:b/>
          <w:color w:val="365F91"/>
          <w:sz w:val="28"/>
          <w:szCs w:val="28"/>
        </w:rPr>
        <w:t>4.</w:t>
      </w:r>
      <w:r w:rsidR="002760F1">
        <w:rPr>
          <w:rFonts w:ascii="Times New Roman" w:hAnsi="Times New Roman" w:cs="Times New Roman"/>
          <w:b/>
          <w:color w:val="365F91"/>
          <w:sz w:val="28"/>
          <w:szCs w:val="28"/>
        </w:rPr>
        <w:t xml:space="preserve"> </w:t>
      </w:r>
      <w:r w:rsidRPr="001F0139">
        <w:rPr>
          <w:rFonts w:ascii="Times New Roman" w:hAnsi="Times New Roman" w:cs="Times New Roman"/>
          <w:b/>
          <w:color w:val="365F91"/>
          <w:sz w:val="28"/>
          <w:szCs w:val="28"/>
        </w:rPr>
        <w:t xml:space="preserve">Анализ сильных и слабых сторон, возможностей и угроз </w:t>
      </w:r>
      <w:bookmarkEnd w:id="9"/>
      <w:r w:rsidRPr="001F0139">
        <w:rPr>
          <w:rFonts w:ascii="Times New Roman" w:hAnsi="Times New Roman" w:cs="Times New Roman"/>
          <w:b/>
          <w:color w:val="365F91"/>
          <w:sz w:val="28"/>
          <w:szCs w:val="28"/>
        </w:rPr>
        <w:t xml:space="preserve">Камышлинского </w:t>
      </w:r>
      <w:bookmarkStart w:id="10" w:name="bookmark8"/>
      <w:r w:rsidRPr="001F0139">
        <w:rPr>
          <w:rFonts w:ascii="Times New Roman" w:hAnsi="Times New Roman" w:cs="Times New Roman"/>
          <w:b/>
          <w:color w:val="365F91"/>
          <w:sz w:val="28"/>
          <w:szCs w:val="28"/>
        </w:rPr>
        <w:t>муниципального района</w:t>
      </w:r>
      <w:bookmarkEnd w:id="10"/>
    </w:p>
    <w:p w:rsidR="004D4A30" w:rsidRPr="001F0139" w:rsidRDefault="004D4A30" w:rsidP="001F0139">
      <w:pPr>
        <w:pStyle w:val="a3"/>
        <w:spacing w:after="0" w:line="360" w:lineRule="auto"/>
        <w:ind w:left="0" w:firstLine="709"/>
        <w:jc w:val="both"/>
        <w:rPr>
          <w:rFonts w:ascii="Times New Roman" w:hAnsi="Times New Roman" w:cs="Times New Roman"/>
          <w:sz w:val="28"/>
          <w:szCs w:val="28"/>
        </w:rPr>
      </w:pPr>
      <w:r w:rsidRPr="001F0139">
        <w:rPr>
          <w:rFonts w:ascii="Times New Roman" w:hAnsi="Times New Roman" w:cs="Times New Roman"/>
          <w:sz w:val="28"/>
          <w:szCs w:val="28"/>
        </w:rPr>
        <w:t>Анализ пространственного и социально-экономического развития, человеческого и инфраструктурного потенциала, с учетом опросов населения и выявления желаемого образа будущего, в том числе по различным направлениям позволяет выделить сильные и слабые стороны, возможности и ограничения, риски и угрозы в развитии муниципального района Камышлинский на современном этапе.</w:t>
      </w:r>
    </w:p>
    <w:p w:rsidR="004D4A30" w:rsidRPr="001F0139" w:rsidRDefault="004D4A30" w:rsidP="001F0139">
      <w:pPr>
        <w:autoSpaceDE w:val="0"/>
        <w:autoSpaceDN w:val="0"/>
        <w:adjustRightInd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Сильные стороны – факторы, которые в перспективе могут стать конкурентными преимуществами района. </w:t>
      </w:r>
    </w:p>
    <w:p w:rsidR="004D4A30" w:rsidRPr="001F0139" w:rsidRDefault="004D4A30" w:rsidP="001F0139">
      <w:pPr>
        <w:autoSpaceDE w:val="0"/>
        <w:autoSpaceDN w:val="0"/>
        <w:adjustRightInd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Слабые стороны – слаборазвитые конкурентные факторы социально-экономического развития района. </w:t>
      </w:r>
    </w:p>
    <w:p w:rsidR="004D4A30" w:rsidRPr="001F0139" w:rsidRDefault="004D4A30" w:rsidP="001F0139">
      <w:pPr>
        <w:autoSpaceDE w:val="0"/>
        <w:autoSpaceDN w:val="0"/>
        <w:adjustRightInd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Возможности – благоприятные тенденции и внешние потенциалы развития территории.</w:t>
      </w:r>
    </w:p>
    <w:p w:rsidR="004D4A30" w:rsidRPr="001F0139" w:rsidRDefault="004D4A30" w:rsidP="001F0139">
      <w:pPr>
        <w:autoSpaceDE w:val="0"/>
        <w:autoSpaceDN w:val="0"/>
        <w:adjustRightInd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Угрозы (риски) – неблагоприятные тенденции и внешние риски для развития района, вероятность возникновения которых необходимо минимизировать.</w:t>
      </w:r>
    </w:p>
    <w:p w:rsidR="004D4A30" w:rsidRPr="001F0139" w:rsidRDefault="004D4A30" w:rsidP="001F0139">
      <w:pPr>
        <w:spacing w:after="0" w:line="360" w:lineRule="auto"/>
        <w:ind w:firstLine="709"/>
        <w:jc w:val="both"/>
        <w:rPr>
          <w:rFonts w:ascii="Times New Roman" w:hAnsi="Times New Roman" w:cs="Times New Roman"/>
          <w:color w:val="000000"/>
          <w:sz w:val="28"/>
          <w:szCs w:val="28"/>
          <w:shd w:val="clear" w:color="auto" w:fill="FFFFFF"/>
        </w:rPr>
      </w:pPr>
      <w:r w:rsidRPr="001F0139">
        <w:rPr>
          <w:rFonts w:ascii="Times New Roman" w:hAnsi="Times New Roman" w:cs="Times New Roman"/>
          <w:color w:val="000000"/>
          <w:sz w:val="28"/>
          <w:szCs w:val="28"/>
          <w:shd w:val="clear" w:color="auto" w:fill="FFFFFF"/>
        </w:rPr>
        <w:t xml:space="preserve">Суть стратегического анализа состояла не столько в фиксации проблем на основе официальной статистики, сколько в детальной и глубокой диагностике их местной специфики, выявлении факторов критичности данных проблем экспертами рабочих групп, предпринимательским сообществом, жителями района. </w:t>
      </w:r>
    </w:p>
    <w:p w:rsidR="004D4A30" w:rsidRPr="001F0139" w:rsidRDefault="004D4A30" w:rsidP="001F0139">
      <w:pPr>
        <w:tabs>
          <w:tab w:val="left" w:pos="851"/>
          <w:tab w:val="decimal" w:pos="1418"/>
        </w:tabs>
        <w:spacing w:after="0" w:line="360" w:lineRule="auto"/>
        <w:contextualSpacing/>
        <w:jc w:val="both"/>
        <w:outlineLvl w:val="1"/>
        <w:rPr>
          <w:rFonts w:ascii="Times New Roman" w:hAnsi="Times New Roman" w:cs="Times New Roman"/>
          <w:b/>
          <w:color w:val="365F91"/>
          <w:sz w:val="28"/>
          <w:szCs w:val="28"/>
        </w:rPr>
      </w:pPr>
      <w:bookmarkStart w:id="11" w:name="_Toc520894852"/>
      <w:r w:rsidRPr="001F0139">
        <w:rPr>
          <w:rFonts w:ascii="Times New Roman" w:hAnsi="Times New Roman" w:cs="Times New Roman"/>
          <w:b/>
          <w:color w:val="365F91"/>
          <w:sz w:val="28"/>
          <w:szCs w:val="28"/>
        </w:rPr>
        <w:t>4.1.SWOT-анализ развития экономико-географического положения и природно-ресурсного потенциала</w:t>
      </w:r>
      <w:bookmarkEnd w:id="11"/>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SWOT-анализ экономико-географического положения и природно-ресурсного потенциала Камышлинского района проведен с учетом уровня </w:t>
      </w:r>
      <w:r w:rsidRPr="001F0139">
        <w:rPr>
          <w:rFonts w:ascii="Times New Roman" w:hAnsi="Times New Roman" w:cs="Times New Roman"/>
          <w:sz w:val="28"/>
          <w:szCs w:val="28"/>
        </w:rPr>
        <w:lastRenderedPageBreak/>
        <w:t>развития, состояния и потенциала различных сторон, включая природно-климатические, водные ресурсы, полезные ископаемые и экологию.</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sz w:val="28"/>
          <w:szCs w:val="28"/>
        </w:rPr>
        <w:t>Сильные стороны</w:t>
      </w:r>
      <w:r w:rsidRPr="001F0139">
        <w:rPr>
          <w:rFonts w:ascii="Times New Roman" w:hAnsi="Times New Roman" w:cs="Times New Roman"/>
          <w:sz w:val="28"/>
          <w:szCs w:val="28"/>
        </w:rPr>
        <w:t xml:space="preserve"> обусловлены тем, что муниципальный район имеет экономико-географическое преимущество в виде стратегической автомобильной магистрали М-5, которое является долгосрочным фактором, способствующим развитию территории. В качестве положительных факторов развития региона можно выделить благоприятную экологическую ситуацию в силу относительной удаленности от крупных промышленных комплексов; черноземные почвы; уникальные природно-рекреационные ресурсы и хороший климат; характер рельефа и ландшафта, благоприятные для организации лыжных трасс, развития пешего и конного туризма и других видов активного отдыха; уникальные лесные ресурсы, в частности реликтовый смешанный лес, крайне редкий для мест лесостепной зоны, смешение разнообразных древесных, кустарниковых и травянистых растений; достаточное количество водных объектов (крупные и мелкие реки), запас пресной воды (многочисленные пресноводные родники), минеральные источники, обладающие лечебными качествами.</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sz w:val="28"/>
          <w:szCs w:val="28"/>
        </w:rPr>
        <w:t>Слабые стороны</w:t>
      </w:r>
      <w:r w:rsidRPr="001F0139">
        <w:rPr>
          <w:rFonts w:ascii="Times New Roman" w:hAnsi="Times New Roman" w:cs="Times New Roman"/>
          <w:sz w:val="28"/>
          <w:szCs w:val="28"/>
        </w:rPr>
        <w:t xml:space="preserve"> обусловлены такими причинами как удаленность от областного центра; слабый природно-ресурсный потенциал; загрязнение рек; большинство почвенного покрова относится к средне- и малогумусному; сложный рельеф местности и погодные условия для с.-х. деятельности; бедная фауна.</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sz w:val="28"/>
          <w:szCs w:val="28"/>
        </w:rPr>
        <w:t xml:space="preserve">Возможности </w:t>
      </w:r>
      <w:r w:rsidRPr="001F0139">
        <w:rPr>
          <w:rFonts w:ascii="Times New Roman" w:hAnsi="Times New Roman" w:cs="Times New Roman"/>
          <w:sz w:val="28"/>
          <w:szCs w:val="28"/>
        </w:rPr>
        <w:t>развития Камышлинского района, исходя из природно-ресурсного потенциала, следующие: добыча углеводородов, строительного сырья и других минеральных ресурсов; использование водных ресурсов; использование лесных ресурсов.</w:t>
      </w:r>
    </w:p>
    <w:p w:rsidR="004D4A30" w:rsidRPr="001F0139" w:rsidRDefault="004D4A30" w:rsidP="001F0139">
      <w:pPr>
        <w:spacing w:after="0" w:line="360" w:lineRule="auto"/>
        <w:ind w:firstLine="709"/>
        <w:jc w:val="both"/>
        <w:rPr>
          <w:rFonts w:ascii="Times New Roman" w:hAnsi="Times New Roman" w:cs="Times New Roman"/>
          <w:i/>
          <w:sz w:val="28"/>
          <w:szCs w:val="28"/>
        </w:rPr>
      </w:pPr>
      <w:r w:rsidRPr="001F0139">
        <w:rPr>
          <w:rFonts w:ascii="Times New Roman" w:hAnsi="Times New Roman" w:cs="Times New Roman"/>
          <w:sz w:val="28"/>
          <w:szCs w:val="28"/>
        </w:rPr>
        <w:t>К природно-климатическим</w:t>
      </w:r>
      <w:r w:rsidRPr="001F0139">
        <w:rPr>
          <w:rFonts w:ascii="Times New Roman" w:hAnsi="Times New Roman" w:cs="Times New Roman"/>
          <w:i/>
          <w:sz w:val="28"/>
          <w:szCs w:val="28"/>
        </w:rPr>
        <w:t xml:space="preserve"> угрозам района </w:t>
      </w:r>
      <w:r w:rsidRPr="001F0139">
        <w:rPr>
          <w:rFonts w:ascii="Times New Roman" w:hAnsi="Times New Roman" w:cs="Times New Roman"/>
          <w:sz w:val="28"/>
          <w:szCs w:val="28"/>
        </w:rPr>
        <w:t>можно отнести</w:t>
      </w:r>
      <w:r w:rsidRPr="001F0139">
        <w:rPr>
          <w:rFonts w:ascii="Times New Roman" w:hAnsi="Times New Roman" w:cs="Times New Roman"/>
          <w:i/>
          <w:sz w:val="28"/>
          <w:szCs w:val="28"/>
        </w:rPr>
        <w:t xml:space="preserve"> </w:t>
      </w:r>
      <w:r w:rsidRPr="001F0139">
        <w:rPr>
          <w:rFonts w:ascii="Times New Roman" w:hAnsi="Times New Roman" w:cs="Times New Roman"/>
          <w:sz w:val="28"/>
          <w:szCs w:val="28"/>
        </w:rPr>
        <w:t>повышение уровня загрязнённости воздуха, почвы, воды в крупных, малых реках, подземных источниках; эрозия почв; паводки; лесные пожары.</w:t>
      </w:r>
    </w:p>
    <w:p w:rsidR="004D4A30" w:rsidRPr="001F0139" w:rsidRDefault="004D4A30" w:rsidP="001F0139">
      <w:pPr>
        <w:spacing w:after="0" w:line="360" w:lineRule="auto"/>
        <w:ind w:firstLine="709"/>
        <w:contextualSpacing/>
        <w:jc w:val="both"/>
        <w:rPr>
          <w:rFonts w:ascii="Times New Roman" w:hAnsi="Times New Roman" w:cs="Times New Roman"/>
          <w:b/>
          <w:color w:val="0070C0"/>
          <w:sz w:val="28"/>
          <w:szCs w:val="28"/>
        </w:rPr>
      </w:pPr>
    </w:p>
    <w:p w:rsidR="004D4A30" w:rsidRPr="001F0139" w:rsidRDefault="004D4A30" w:rsidP="001F0139">
      <w:pPr>
        <w:tabs>
          <w:tab w:val="left" w:pos="851"/>
          <w:tab w:val="decimal" w:pos="1418"/>
        </w:tabs>
        <w:spacing w:after="0" w:line="360" w:lineRule="auto"/>
        <w:contextualSpacing/>
        <w:jc w:val="both"/>
        <w:outlineLvl w:val="1"/>
        <w:rPr>
          <w:rFonts w:ascii="Times New Roman" w:hAnsi="Times New Roman" w:cs="Times New Roman"/>
          <w:b/>
          <w:color w:val="365F91"/>
          <w:sz w:val="28"/>
          <w:szCs w:val="28"/>
        </w:rPr>
      </w:pPr>
      <w:bookmarkStart w:id="12" w:name="_Toc520894853"/>
      <w:r w:rsidRPr="001F0139">
        <w:rPr>
          <w:rFonts w:ascii="Times New Roman" w:hAnsi="Times New Roman" w:cs="Times New Roman"/>
          <w:b/>
          <w:color w:val="365F91"/>
          <w:sz w:val="28"/>
          <w:szCs w:val="28"/>
        </w:rPr>
        <w:lastRenderedPageBreak/>
        <w:t>4.2.SWOT-анализ развития человеческого капитала</w:t>
      </w:r>
      <w:bookmarkEnd w:id="12"/>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SWOT-анализ развития человеческого капитала Камышлинского района проведен с учетом уровня развития и потенциала различных сфер, включая демографическое развитие, миграцию, занятость, уровень жизни населения, систему социальной защиты населения, образование, здравоохранение, экологию, физическую культуру и спорт, культуру, досуг, молодежную политику.</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sz w:val="28"/>
          <w:szCs w:val="28"/>
        </w:rPr>
        <w:t>Сильные стороны</w:t>
      </w:r>
      <w:r w:rsidRPr="001F0139">
        <w:rPr>
          <w:rFonts w:ascii="Times New Roman" w:hAnsi="Times New Roman" w:cs="Times New Roman"/>
          <w:sz w:val="28"/>
          <w:szCs w:val="28"/>
        </w:rPr>
        <w:t xml:space="preserve"> обусловлены стабильной работой учреждений здравоохранения, образования, социальной защиты населения.</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К достоинствам системы здравоохранения Камышлинского муниципального района можно отнести: хорошая укомплектованность Камышлинской ЦРБ медицинским оборудованием; капитальный ремонт поликлиники и ФАПов; достаточно высокий уровень обеспеченности койко-местами по сравнению с другими муниципальными районами Самарской области; прием врачей узких специальностей: терапевт, хирург, онколог, гинеколог, оториноларинголог, педиатр, невролог, врач клинической лабораторной диагностики, нарколог; прием ведется без предварительной записи, по принципу «всех – в день обращения». </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Также район занимает 1 место по удельному весу населения младше трудоспособного возраста, при этом характеризуется высокой доступностью услуг дошкольного образования, систем дополнительного и общего образования детей, продуктивной работой творческих коллективов и объединений; обеспечением высокого качества образования (высокие баллы ЕГЭ, медали).</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Сильной стороной, является наличие некоммерческих, общественных, профсоюзных, религиозных, молодежных организаций, а также поддержка гражданских инициатив, участие в приоритетном федеральном проекте «Формирование комфортной </w:t>
      </w:r>
      <w:r w:rsidR="001F0139">
        <w:rPr>
          <w:rFonts w:ascii="Times New Roman" w:hAnsi="Times New Roman" w:cs="Times New Roman"/>
          <w:sz w:val="28"/>
          <w:szCs w:val="28"/>
        </w:rPr>
        <w:t>район</w:t>
      </w:r>
      <w:r w:rsidRPr="001F0139">
        <w:rPr>
          <w:rFonts w:ascii="Times New Roman" w:hAnsi="Times New Roman" w:cs="Times New Roman"/>
          <w:sz w:val="28"/>
          <w:szCs w:val="28"/>
        </w:rPr>
        <w:t>ской среды».</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Кроме того район отличается сложившейся системой предоставления минимальных социальных гарантий населению, и, главное, в муниципальном </w:t>
      </w:r>
      <w:r w:rsidRPr="001F0139">
        <w:rPr>
          <w:rFonts w:ascii="Times New Roman" w:hAnsi="Times New Roman" w:cs="Times New Roman"/>
          <w:sz w:val="28"/>
          <w:szCs w:val="28"/>
        </w:rPr>
        <w:lastRenderedPageBreak/>
        <w:t xml:space="preserve">районе проживают трудолюбивые люди с крепкими семейными и национальными традициями. </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Проведенный анализ выявил такие </w:t>
      </w:r>
      <w:r w:rsidRPr="001F0139">
        <w:rPr>
          <w:rFonts w:ascii="Times New Roman" w:hAnsi="Times New Roman" w:cs="Times New Roman"/>
          <w:i/>
          <w:sz w:val="28"/>
          <w:szCs w:val="28"/>
        </w:rPr>
        <w:t>слабые стороны</w:t>
      </w:r>
      <w:r w:rsidRPr="001F0139">
        <w:rPr>
          <w:rFonts w:ascii="Times New Roman" w:hAnsi="Times New Roman" w:cs="Times New Roman"/>
          <w:sz w:val="28"/>
          <w:szCs w:val="28"/>
        </w:rPr>
        <w:t xml:space="preserve">, как расположение муниципального образования на периферии Самарской области, его относительная удаленность от промышленных и культурных центров; слабое участие молодежи в развитии района, высокий уровень официально зарегистрированной безработицы; дефицит привлекательных рабочих мест и низкий уровень заработной платы в районе; несбалансированная структура распределения организаций по видам деятельности (ИП: 50% – торговля и сфера услуг, 15% – с.-х., охота, лесное хоз-во; большинство организация связано с бюджетной сферой); слабое развитие институтов поддержки некоммерческого сектора; слабая кадровая обеспеченность, старение квалифицированных кадров медицинских учреждений района; регион является одним из аутсайдеров по ситуации по обеспеченности медицинским персоналом; низкая удовлетворенность жителей района услугами в сферах здравоохранения, культуры и проведения досуга, физкультуры и спорта. </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Также необходимо отметить негативную демографическую ситуацию (низкая рождаемость, высокая смертность, уровень рождаемости пока не обеспечивает простого воспроизводства населения); возрастная структура населения относится к регрессивному типу (старение населения); устойчивое отрицательное сальдо миграции (преимущественно внутрирегиональная миграция)</w:t>
      </w:r>
      <w:r w:rsidRPr="001F0139">
        <w:rPr>
          <w:rFonts w:ascii="Times New Roman" w:eastAsia="TimesNewRomanPSMT" w:hAnsi="Times New Roman" w:cs="Times New Roman"/>
        </w:rPr>
        <w:t>;</w:t>
      </w:r>
      <w:r w:rsidRPr="001F0139">
        <w:rPr>
          <w:rFonts w:ascii="Times New Roman" w:hAnsi="Times New Roman" w:cs="Times New Roman"/>
          <w:sz w:val="28"/>
          <w:szCs w:val="28"/>
        </w:rPr>
        <w:t xml:space="preserve"> и низкую вовлеченность населения в занятия спортом; недостаточное количество специалистов в системе дополнительного образования; отсутствие организаций ступени высшего образования в районе; малое число местной прессы (Камышлинские известия) и СМИ (телеканал НУР, 3 часа в неделю).</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sz w:val="28"/>
          <w:szCs w:val="28"/>
        </w:rPr>
        <w:t>Потенциальными возможностями</w:t>
      </w:r>
      <w:r w:rsidRPr="001F0139">
        <w:rPr>
          <w:rFonts w:ascii="Times New Roman" w:hAnsi="Times New Roman" w:cs="Times New Roman"/>
          <w:sz w:val="28"/>
          <w:szCs w:val="28"/>
        </w:rPr>
        <w:t xml:space="preserve"> для развития человеческого капитала в Камышлинском районе являются такие факторы, как сохранение и развитие уникального природного комплекса условий, динамичное развитие технологий связи и информационно-коммуникационных </w:t>
      </w:r>
      <w:r w:rsidRPr="001F0139">
        <w:rPr>
          <w:rFonts w:ascii="Times New Roman" w:hAnsi="Times New Roman" w:cs="Times New Roman"/>
          <w:sz w:val="28"/>
          <w:szCs w:val="28"/>
        </w:rPr>
        <w:lastRenderedPageBreak/>
        <w:t xml:space="preserve">технологий, растущая потребность населения России в санаторно-курортных услугах, а также сложившиеся макроэкономические и внешнеполитические предпосылки для развития внутреннего туризма и отечественного АПК. Возможно создание рабочих мест за счет развития с/х производства, добычи углеводородов, строительного сырья и других минеральных ресурсов, создание районообразующих предприятий (хлебозавод, молокозавод и др.), </w:t>
      </w:r>
    </w:p>
    <w:p w:rsidR="004D4A30" w:rsidRPr="001F0139" w:rsidRDefault="004D4A30" w:rsidP="001F0139">
      <w:pPr>
        <w:spacing w:after="0" w:line="360" w:lineRule="auto"/>
        <w:jc w:val="both"/>
        <w:rPr>
          <w:rFonts w:ascii="Times New Roman" w:hAnsi="Times New Roman" w:cs="Times New Roman"/>
          <w:sz w:val="28"/>
          <w:szCs w:val="28"/>
        </w:rPr>
      </w:pPr>
      <w:r w:rsidRPr="001F0139">
        <w:rPr>
          <w:rFonts w:ascii="Times New Roman" w:hAnsi="Times New Roman" w:cs="Times New Roman"/>
          <w:sz w:val="28"/>
          <w:szCs w:val="28"/>
        </w:rPr>
        <w:t xml:space="preserve">развитие семейного бизнеса. </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В социально-культурном плане в качестве возможностей можно выделить следующие направления: открытие школы искусств, развлекательно-досугового центра для населения; строительство доступного жилья; создание комфортной среды для семейного отдыха; участие в федеральных и региональных программах по поддержке семейного бизнеса и молодых семей (материальное стимулирование и общественное признание социальной значимости многодетных семей), защита детей, модернизация образования, воспитание молодежи, формирование доступной среды для людей с ограниченными возможностями; развитие, сохранение и укрепление национальных традиций.</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Кроме того положительный эффект могут оказать складывающиеся в регионе предпосылки для устойчивого развития таких отраслей как туризм, транспорт и логистика, образование, торговля; переориентация государственной политики в направлении привлечения молодежи в регион и на развитие мер поддержки молодых специалистов и меры, принимаемые на федеральном и региональном уровне по вовлечению СО НКО в процессы оказания социальных и общественно полезных услуг.</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sz w:val="28"/>
          <w:szCs w:val="28"/>
        </w:rPr>
        <w:t>К внешним угрозам</w:t>
      </w:r>
      <w:r w:rsidRPr="001F0139">
        <w:rPr>
          <w:rFonts w:ascii="Times New Roman" w:hAnsi="Times New Roman" w:cs="Times New Roman"/>
          <w:b/>
          <w:sz w:val="28"/>
          <w:szCs w:val="28"/>
        </w:rPr>
        <w:t>,</w:t>
      </w:r>
      <w:r w:rsidRPr="001F0139">
        <w:rPr>
          <w:rFonts w:ascii="Times New Roman" w:hAnsi="Times New Roman" w:cs="Times New Roman"/>
          <w:sz w:val="28"/>
          <w:szCs w:val="28"/>
        </w:rPr>
        <w:t xml:space="preserve"> прежде всего, относится отток квалифицированных специалистов в </w:t>
      </w:r>
      <w:r w:rsidR="001F0139">
        <w:rPr>
          <w:rFonts w:ascii="Times New Roman" w:hAnsi="Times New Roman" w:cs="Times New Roman"/>
          <w:sz w:val="28"/>
          <w:szCs w:val="28"/>
        </w:rPr>
        <w:t>район</w:t>
      </w:r>
      <w:r w:rsidRPr="001F0139">
        <w:rPr>
          <w:rFonts w:ascii="Times New Roman" w:hAnsi="Times New Roman" w:cs="Times New Roman"/>
          <w:sz w:val="28"/>
          <w:szCs w:val="28"/>
        </w:rPr>
        <w:t xml:space="preserve">а области и других регионов страны; отсутствие значимого роста доходов бюджета района в среднесрочной перспективе; возможные отрицательные последствия проводимых на федеральном и региональном уровнях преобразований в </w:t>
      </w:r>
      <w:r w:rsidRPr="001F0139">
        <w:rPr>
          <w:rFonts w:ascii="Times New Roman" w:hAnsi="Times New Roman" w:cs="Times New Roman"/>
          <w:sz w:val="28"/>
          <w:szCs w:val="28"/>
        </w:rPr>
        <w:lastRenderedPageBreak/>
        <w:t>социальной сфере; низкая эффективность действующих в области форм поддержки малоимущих граждан.</w:t>
      </w:r>
    </w:p>
    <w:p w:rsidR="004D4A30" w:rsidRPr="001F0139" w:rsidRDefault="004D4A30" w:rsidP="001F0139">
      <w:pPr>
        <w:tabs>
          <w:tab w:val="left" w:pos="851"/>
          <w:tab w:val="decimal" w:pos="1418"/>
        </w:tabs>
        <w:spacing w:after="0" w:line="360" w:lineRule="auto"/>
        <w:contextualSpacing/>
        <w:jc w:val="both"/>
        <w:outlineLvl w:val="1"/>
        <w:rPr>
          <w:rFonts w:ascii="Times New Roman" w:hAnsi="Times New Roman" w:cs="Times New Roman"/>
          <w:b/>
          <w:color w:val="365F91"/>
          <w:sz w:val="28"/>
          <w:szCs w:val="28"/>
        </w:rPr>
      </w:pPr>
      <w:bookmarkStart w:id="13" w:name="_Toc520894854"/>
      <w:r w:rsidRPr="001F0139">
        <w:rPr>
          <w:rFonts w:ascii="Times New Roman" w:hAnsi="Times New Roman" w:cs="Times New Roman"/>
          <w:b/>
          <w:color w:val="365F91"/>
          <w:sz w:val="28"/>
          <w:szCs w:val="28"/>
        </w:rPr>
        <w:t>4.3.SWOT-анализ экономического развития и управлени</w:t>
      </w:r>
      <w:bookmarkEnd w:id="13"/>
      <w:r w:rsidRPr="001F0139">
        <w:rPr>
          <w:rFonts w:ascii="Times New Roman" w:hAnsi="Times New Roman" w:cs="Times New Roman"/>
          <w:b/>
          <w:color w:val="365F91"/>
          <w:sz w:val="28"/>
          <w:szCs w:val="28"/>
        </w:rPr>
        <w:t>я</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SWOT-анализ экономического развития и инвестиционного потенциала Камышлинского района проведен с учетом уровня развития и потенциала различных сфер, включая промышленность, сельское хозяйство, развитие малого и среднего бизнеса, потребительского рынка и сферы услуг, инвестиций, финансового обеспечения развития и межбюджетных отношений, муниципального управления.</w:t>
      </w:r>
    </w:p>
    <w:p w:rsidR="004D4A30" w:rsidRPr="001F0139" w:rsidRDefault="004D4A30" w:rsidP="001F0139">
      <w:pPr>
        <w:widowControl w:val="0"/>
        <w:shd w:val="clear" w:color="auto" w:fill="FFFFFF"/>
        <w:spacing w:after="0" w:line="360" w:lineRule="auto"/>
        <w:ind w:firstLine="709"/>
        <w:jc w:val="both"/>
        <w:rPr>
          <w:rFonts w:ascii="Times New Roman" w:eastAsia="Times New Roman" w:hAnsi="Times New Roman" w:cs="Times New Roman"/>
          <w:b/>
          <w:i/>
          <w:color w:val="365F91"/>
          <w:sz w:val="28"/>
          <w:szCs w:val="28"/>
          <w:lang w:eastAsia="ru-RU"/>
        </w:rPr>
      </w:pPr>
      <w:r w:rsidRPr="001F0139">
        <w:rPr>
          <w:rFonts w:ascii="Times New Roman" w:eastAsia="Times New Roman" w:hAnsi="Times New Roman" w:cs="Times New Roman"/>
          <w:b/>
          <w:i/>
          <w:color w:val="365F91"/>
          <w:sz w:val="28"/>
          <w:szCs w:val="28"/>
          <w:lang w:eastAsia="ru-RU"/>
        </w:rPr>
        <w:t>Промышленность и сельское хозяйство</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sz w:val="28"/>
          <w:szCs w:val="28"/>
          <w:shd w:val="clear" w:color="auto" w:fill="FFFFFF"/>
        </w:rPr>
        <w:t>Сильные стороны</w:t>
      </w:r>
      <w:r w:rsidRPr="001F0139">
        <w:rPr>
          <w:rFonts w:ascii="Times New Roman" w:hAnsi="Times New Roman" w:cs="Times New Roman"/>
          <w:sz w:val="28"/>
          <w:szCs w:val="28"/>
          <w:shd w:val="clear" w:color="auto" w:fill="FFFFFF"/>
        </w:rPr>
        <w:t xml:space="preserve"> </w:t>
      </w:r>
      <w:r w:rsidRPr="001F0139">
        <w:rPr>
          <w:rFonts w:ascii="Times New Roman" w:hAnsi="Times New Roman" w:cs="Times New Roman"/>
          <w:sz w:val="28"/>
          <w:szCs w:val="28"/>
        </w:rPr>
        <w:t>обусловлены наличием в Камышлинском собственной ресурсной базы для деятельности предприятий по производству строительных материалов, использованием при производстве пшеницы и ячменя только элитных семян и семян первой репродукции, наличием у ООО «Байком-Сервис» лицензии для распространения своих собственных семян, качество которых сопоставимо с элитными. К сильным сторонам можно отнести начало работы ООО СХП «Раздольное», которое специализируется на выращивании сельскохозяйственных культур, а также увеличение урожайности зерновых при постоянной площади обрабатываемой пашни и уменьшении размера посевных площадей.</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Анализ </w:t>
      </w:r>
      <w:r w:rsidRPr="001F0139">
        <w:rPr>
          <w:rFonts w:ascii="Times New Roman" w:hAnsi="Times New Roman" w:cs="Times New Roman"/>
          <w:i/>
          <w:sz w:val="28"/>
          <w:szCs w:val="28"/>
          <w:shd w:val="clear" w:color="auto" w:fill="FFFFFF"/>
        </w:rPr>
        <w:t>слабых сторон</w:t>
      </w:r>
      <w:r w:rsidRPr="001F0139">
        <w:rPr>
          <w:rFonts w:ascii="Times New Roman" w:hAnsi="Times New Roman" w:cs="Times New Roman"/>
          <w:sz w:val="28"/>
          <w:szCs w:val="28"/>
          <w:shd w:val="clear" w:color="auto" w:fill="FFFFFF"/>
        </w:rPr>
        <w:t xml:space="preserve"> </w:t>
      </w:r>
      <w:r w:rsidRPr="001F0139">
        <w:rPr>
          <w:rFonts w:ascii="Times New Roman" w:hAnsi="Times New Roman" w:cs="Times New Roman"/>
          <w:sz w:val="28"/>
          <w:szCs w:val="28"/>
        </w:rPr>
        <w:t>выявил, что ограничениями в развитии Камышлинского района согласно экспертной оценке являются следующие обстоятельства: нестабильная отрицательная динамика сальдированного финансового результата промышленных предприятий, изношенность основных фондов крупных и средних промышленных предприятий, небольшой ассортимент производимой продукции, рост числа убыточных предприятий, сложный рельеф территории, существенная зависимости от погодных условий, сокращение объемов производства по большинству видов животноводческой продукции, недостаточно диверсифицированная и динамично развивающаяся структура экономики.</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sz w:val="28"/>
          <w:szCs w:val="28"/>
          <w:shd w:val="clear" w:color="auto" w:fill="FFFFFF"/>
        </w:rPr>
        <w:lastRenderedPageBreak/>
        <w:t>Потенциальными возможностями</w:t>
      </w:r>
      <w:r w:rsidRPr="001F0139">
        <w:rPr>
          <w:rFonts w:ascii="Times New Roman" w:hAnsi="Times New Roman" w:cs="Times New Roman"/>
          <w:sz w:val="28"/>
          <w:szCs w:val="28"/>
          <w:shd w:val="clear" w:color="auto" w:fill="FFFFFF"/>
        </w:rPr>
        <w:t xml:space="preserve"> </w:t>
      </w:r>
      <w:r w:rsidRPr="001F0139">
        <w:rPr>
          <w:rFonts w:ascii="Times New Roman" w:hAnsi="Times New Roman" w:cs="Times New Roman"/>
          <w:sz w:val="28"/>
          <w:szCs w:val="28"/>
        </w:rPr>
        <w:t xml:space="preserve">развития промышленности и сельского хозяйства Камышлинского района являются: </w:t>
      </w:r>
    </w:p>
    <w:p w:rsidR="004D4A30" w:rsidRPr="001F013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 xml:space="preserve">сохранения нефтедобычи, добычи неметаллических полезных ископаемых как отрасли экономики района на максимально возможный срок; повышения эффективности использования природных ресурсов территории; </w:t>
      </w:r>
    </w:p>
    <w:p w:rsidR="004D4A30" w:rsidRPr="001F013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 xml:space="preserve">модернизация технологий существующих предприятий и организация новых высокотехнологичных производств в сфере добывающей промышленности; </w:t>
      </w:r>
    </w:p>
    <w:p w:rsidR="004D4A30" w:rsidRPr="001F013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 xml:space="preserve">внедрение энергосберегающих экологически безвредных технологий и производств; </w:t>
      </w:r>
    </w:p>
    <w:p w:rsidR="004D4A30" w:rsidRPr="001F013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 xml:space="preserve">повышение степени диверсификации экономики и ускорение экономического развития; </w:t>
      </w:r>
    </w:p>
    <w:p w:rsidR="004D4A30" w:rsidRPr="001F013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 xml:space="preserve">ввод в сельскохозяйственный оборот неиспользуемых земель; </w:t>
      </w:r>
    </w:p>
    <w:p w:rsidR="004D4A30" w:rsidRPr="001F013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 xml:space="preserve">стимулирование развития малых форм хозяйствования и личных подсобных хозяйств; </w:t>
      </w:r>
    </w:p>
    <w:p w:rsidR="004D4A30" w:rsidRPr="001F013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увеличение объемов производства и расширение рынков сбыта сельскохозяйственной продукции.</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Современная экономическая ситуация, когда хозяйствующие субъекты вынуждены приспосабливаться к новым условиям нестабильности, негативно сказывается на динамике и характере экономического развития района. </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sz w:val="28"/>
          <w:szCs w:val="28"/>
          <w:shd w:val="clear" w:color="auto" w:fill="FFFFFF"/>
        </w:rPr>
        <w:t>К</w:t>
      </w:r>
      <w:r w:rsidRPr="001F0139">
        <w:rPr>
          <w:rFonts w:ascii="Times New Roman" w:hAnsi="Times New Roman" w:cs="Times New Roman"/>
          <w:sz w:val="28"/>
          <w:szCs w:val="28"/>
          <w:shd w:val="clear" w:color="auto" w:fill="FFFFFF"/>
        </w:rPr>
        <w:t xml:space="preserve"> </w:t>
      </w:r>
      <w:r w:rsidRPr="001F0139">
        <w:rPr>
          <w:rFonts w:ascii="Times New Roman" w:hAnsi="Times New Roman" w:cs="Times New Roman"/>
          <w:i/>
          <w:sz w:val="28"/>
          <w:szCs w:val="28"/>
          <w:shd w:val="clear" w:color="auto" w:fill="FFFFFF"/>
        </w:rPr>
        <w:t>внешним угрозам</w:t>
      </w:r>
      <w:r w:rsidRPr="001F0139">
        <w:rPr>
          <w:rFonts w:ascii="Times New Roman" w:hAnsi="Times New Roman" w:cs="Times New Roman"/>
          <w:sz w:val="28"/>
          <w:szCs w:val="28"/>
          <w:shd w:val="clear" w:color="auto" w:fill="FFFFFF"/>
        </w:rPr>
        <w:t xml:space="preserve"> </w:t>
      </w:r>
      <w:r w:rsidRPr="001F0139">
        <w:rPr>
          <w:rFonts w:ascii="Times New Roman" w:hAnsi="Times New Roman" w:cs="Times New Roman"/>
          <w:sz w:val="28"/>
          <w:szCs w:val="28"/>
        </w:rPr>
        <w:t>развития можно отнести: недостаток высококвалифицированной рабочей силы; продолжительную экономическую рецессию; снижение внутреннего платежеспособного спроса; сужение рынков сбыта продукции традиционных промышленных отраслей, составляющих основу специализации района.</w:t>
      </w:r>
    </w:p>
    <w:p w:rsidR="004D4A30" w:rsidRPr="001F0139" w:rsidRDefault="004D4A30" w:rsidP="001F0139">
      <w:pPr>
        <w:spacing w:after="0" w:line="360" w:lineRule="auto"/>
        <w:ind w:firstLine="709"/>
        <w:jc w:val="both"/>
        <w:rPr>
          <w:rFonts w:ascii="Times New Roman" w:eastAsia="Times New Roman" w:hAnsi="Times New Roman" w:cs="Times New Roman"/>
          <w:b/>
          <w:i/>
          <w:color w:val="365F91"/>
          <w:sz w:val="28"/>
          <w:szCs w:val="28"/>
          <w:lang w:eastAsia="ru-RU"/>
        </w:rPr>
      </w:pPr>
      <w:r w:rsidRPr="001F0139">
        <w:rPr>
          <w:rFonts w:ascii="Times New Roman" w:eastAsia="Times New Roman" w:hAnsi="Times New Roman" w:cs="Times New Roman"/>
          <w:b/>
          <w:i/>
          <w:color w:val="365F91"/>
          <w:sz w:val="28"/>
          <w:szCs w:val="28"/>
          <w:lang w:eastAsia="ru-RU"/>
        </w:rPr>
        <w:t>Малый и средний бизнес</w:t>
      </w:r>
    </w:p>
    <w:p w:rsidR="004D4A30" w:rsidRPr="001F0139" w:rsidRDefault="004D4A30" w:rsidP="001F0139">
      <w:pPr>
        <w:spacing w:after="0" w:line="360" w:lineRule="auto"/>
        <w:ind w:firstLine="709"/>
        <w:jc w:val="both"/>
        <w:rPr>
          <w:rFonts w:ascii="Times New Roman" w:hAnsi="Times New Roman" w:cs="Times New Roman"/>
          <w:sz w:val="28"/>
          <w:szCs w:val="28"/>
          <w:shd w:val="clear" w:color="auto" w:fill="FFFFFF"/>
        </w:rPr>
      </w:pPr>
      <w:r w:rsidRPr="001F0139">
        <w:rPr>
          <w:rFonts w:ascii="Times New Roman" w:hAnsi="Times New Roman" w:cs="Times New Roman"/>
          <w:i/>
          <w:sz w:val="28"/>
          <w:szCs w:val="28"/>
          <w:shd w:val="clear" w:color="auto" w:fill="FFFFFF"/>
        </w:rPr>
        <w:t>К сильным сторонам</w:t>
      </w:r>
      <w:r w:rsidRPr="001F0139">
        <w:rPr>
          <w:rFonts w:ascii="Times New Roman" w:hAnsi="Times New Roman" w:cs="Times New Roman"/>
          <w:sz w:val="28"/>
          <w:szCs w:val="28"/>
          <w:shd w:val="clear" w:color="auto" w:fill="FFFFFF"/>
        </w:rPr>
        <w:t xml:space="preserve"> развития малого бизнеса в районе относятся: финансовая поддержка районного фонда микрофинансирования субъектов малого и среднего предпринимательства и содействие населению в организации собственного дела по программе самозанятости.</w:t>
      </w:r>
    </w:p>
    <w:p w:rsidR="004D4A30" w:rsidRPr="001F0139" w:rsidRDefault="004D4A30" w:rsidP="001F0139">
      <w:pPr>
        <w:spacing w:after="0" w:line="360" w:lineRule="auto"/>
        <w:ind w:firstLine="709"/>
        <w:jc w:val="both"/>
        <w:rPr>
          <w:rFonts w:ascii="Times New Roman" w:hAnsi="Times New Roman" w:cs="Times New Roman"/>
          <w:sz w:val="28"/>
          <w:szCs w:val="28"/>
          <w:shd w:val="clear" w:color="auto" w:fill="FFFFFF"/>
        </w:rPr>
      </w:pPr>
      <w:r w:rsidRPr="001F0139">
        <w:rPr>
          <w:rFonts w:ascii="Times New Roman" w:hAnsi="Times New Roman" w:cs="Times New Roman"/>
          <w:i/>
          <w:sz w:val="28"/>
          <w:szCs w:val="28"/>
          <w:shd w:val="clear" w:color="auto" w:fill="FFFFFF"/>
        </w:rPr>
        <w:lastRenderedPageBreak/>
        <w:t>К слабым сторонам</w:t>
      </w:r>
      <w:r w:rsidRPr="001F0139">
        <w:rPr>
          <w:rFonts w:ascii="Times New Roman" w:hAnsi="Times New Roman" w:cs="Times New Roman"/>
          <w:sz w:val="28"/>
          <w:szCs w:val="28"/>
          <w:shd w:val="clear" w:color="auto" w:fill="FFFFFF"/>
        </w:rPr>
        <w:t xml:space="preserve"> развития предпринимательского сектора можно отнести: преобладание оптово-розничной торговли над сельскохозяйственным производством, отсутствие финансирования программы поддержки и развития малого предпринимательства со стороны местного бюджета с 2014 г., отрицательную динамику по большинству показателей развития субъектов малого и среднего предпринимательства с 2012 г.</w:t>
      </w:r>
    </w:p>
    <w:p w:rsidR="004D4A30" w:rsidRPr="001F0139" w:rsidRDefault="004D4A30" w:rsidP="001F0139">
      <w:pPr>
        <w:spacing w:after="0" w:line="360" w:lineRule="auto"/>
        <w:ind w:firstLine="709"/>
        <w:jc w:val="both"/>
        <w:rPr>
          <w:rFonts w:ascii="Times New Roman" w:hAnsi="Times New Roman" w:cs="Times New Roman"/>
          <w:sz w:val="28"/>
          <w:szCs w:val="28"/>
          <w:shd w:val="clear" w:color="auto" w:fill="FFFFFF"/>
        </w:rPr>
      </w:pPr>
      <w:r w:rsidRPr="001F0139">
        <w:rPr>
          <w:rFonts w:ascii="Times New Roman" w:hAnsi="Times New Roman" w:cs="Times New Roman"/>
          <w:sz w:val="28"/>
          <w:szCs w:val="28"/>
          <w:shd w:val="clear" w:color="auto" w:fill="FFFFFF"/>
        </w:rPr>
        <w:t>Развитие предпринимательской активности будет во многом определяться макроэкономической ситуацией в стране и регионе, а также последовательностью и эффективностью действий органов местного самоуправления по улучшению бизнес-климата на территории Камышлинского района.</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shd w:val="clear" w:color="auto" w:fill="FFFFFF"/>
        </w:rPr>
        <w:t xml:space="preserve">Успешное развитие малого и среднего бизнеса связаны с реализацией следующих </w:t>
      </w:r>
      <w:r w:rsidRPr="001F0139">
        <w:rPr>
          <w:rFonts w:ascii="Times New Roman" w:hAnsi="Times New Roman" w:cs="Times New Roman"/>
          <w:i/>
          <w:sz w:val="28"/>
          <w:szCs w:val="28"/>
          <w:shd w:val="clear" w:color="auto" w:fill="FFFFFF"/>
        </w:rPr>
        <w:t>потенциальных возможностей</w:t>
      </w:r>
      <w:r w:rsidRPr="001F0139">
        <w:rPr>
          <w:rFonts w:ascii="Times New Roman" w:hAnsi="Times New Roman" w:cs="Times New Roman"/>
          <w:sz w:val="28"/>
          <w:szCs w:val="28"/>
          <w:shd w:val="clear" w:color="auto" w:fill="FFFFFF"/>
        </w:rPr>
        <w:t>: п</w:t>
      </w:r>
      <w:r w:rsidRPr="001F0139">
        <w:rPr>
          <w:rFonts w:ascii="Times New Roman" w:hAnsi="Times New Roman" w:cs="Times New Roman"/>
          <w:sz w:val="28"/>
          <w:szCs w:val="28"/>
        </w:rPr>
        <w:t>овышение комфортности бизнес-среды, снижение административных барьеров для выхода на новые рынки, участие в государственных программах по поддержке малого и среднего бизнеса, развитие производственной кооперации между крупным бизнесом и предприятиями МСП в рамках реализации муниципальной программы, расширение рыночных сегментов присутствия малого бизнеса в экономике района.</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sz w:val="28"/>
          <w:szCs w:val="28"/>
          <w:shd w:val="clear" w:color="auto" w:fill="FFFFFF"/>
        </w:rPr>
        <w:t>Внешние угрозы</w:t>
      </w:r>
      <w:r w:rsidRPr="001F0139">
        <w:rPr>
          <w:rFonts w:ascii="Times New Roman" w:hAnsi="Times New Roman" w:cs="Times New Roman"/>
          <w:sz w:val="28"/>
          <w:szCs w:val="28"/>
          <w:shd w:val="clear" w:color="auto" w:fill="FFFFFF"/>
        </w:rPr>
        <w:t xml:space="preserve"> для развития малого бизнеса связаны с ростом фискальной нагрузки на бизнес; с</w:t>
      </w:r>
      <w:r w:rsidRPr="001F0139">
        <w:rPr>
          <w:rFonts w:ascii="Times New Roman" w:hAnsi="Times New Roman" w:cs="Times New Roman"/>
          <w:sz w:val="28"/>
          <w:szCs w:val="28"/>
        </w:rPr>
        <w:t>нижением платежеспособного спроса, удорожанием кредитных ресурсов, отсутствием действенных механизмов господдержки.</w:t>
      </w:r>
    </w:p>
    <w:p w:rsidR="004D4A30" w:rsidRPr="001F0139" w:rsidRDefault="004D4A30" w:rsidP="001F0139">
      <w:pPr>
        <w:spacing w:after="0" w:line="360" w:lineRule="auto"/>
        <w:ind w:firstLine="709"/>
        <w:jc w:val="both"/>
        <w:rPr>
          <w:rFonts w:ascii="Times New Roman" w:eastAsia="Times New Roman" w:hAnsi="Times New Roman" w:cs="Times New Roman"/>
          <w:b/>
          <w:i/>
          <w:color w:val="365F91"/>
          <w:sz w:val="28"/>
          <w:szCs w:val="28"/>
          <w:lang w:eastAsia="ru-RU"/>
        </w:rPr>
      </w:pPr>
      <w:r w:rsidRPr="001F0139">
        <w:rPr>
          <w:rFonts w:ascii="Times New Roman" w:eastAsia="Times New Roman" w:hAnsi="Times New Roman" w:cs="Times New Roman"/>
          <w:b/>
          <w:i/>
          <w:color w:val="365F91"/>
          <w:sz w:val="28"/>
          <w:szCs w:val="28"/>
          <w:lang w:eastAsia="ru-RU"/>
        </w:rPr>
        <w:t>Потребительский рынок и сфера услуг</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shd w:val="clear" w:color="auto" w:fill="FFFFFF"/>
        </w:rPr>
        <w:t xml:space="preserve"> </w:t>
      </w:r>
      <w:r w:rsidRPr="001F0139">
        <w:rPr>
          <w:rFonts w:ascii="Times New Roman" w:hAnsi="Times New Roman" w:cs="Times New Roman"/>
          <w:i/>
          <w:sz w:val="28"/>
          <w:szCs w:val="28"/>
          <w:shd w:val="clear" w:color="auto" w:fill="FFFFFF"/>
        </w:rPr>
        <w:t>К сильным сторонам</w:t>
      </w:r>
      <w:r w:rsidRPr="001F0139">
        <w:rPr>
          <w:rFonts w:ascii="Times New Roman" w:hAnsi="Times New Roman" w:cs="Times New Roman"/>
          <w:sz w:val="28"/>
          <w:szCs w:val="28"/>
          <w:shd w:val="clear" w:color="auto" w:fill="FFFFFF"/>
        </w:rPr>
        <w:t xml:space="preserve"> развития потребительского рынка и сферы услуг следует отнести: </w:t>
      </w:r>
      <w:r w:rsidRPr="001F0139">
        <w:rPr>
          <w:rFonts w:ascii="Times New Roman" w:hAnsi="Times New Roman" w:cs="Times New Roman"/>
          <w:sz w:val="28"/>
          <w:szCs w:val="28"/>
        </w:rPr>
        <w:t>лидирующие позиции среди муниципальных районов Самарской области по обороту общественного питания и рост оборота розничной торговли.</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shd w:val="clear" w:color="auto" w:fill="FFFFFF"/>
        </w:rPr>
        <w:lastRenderedPageBreak/>
        <w:t xml:space="preserve">Наряду с положительными характеристиками, на потребительском рынке района существует и ряд проблем, определяющих его </w:t>
      </w:r>
      <w:r w:rsidRPr="001F0139">
        <w:rPr>
          <w:rFonts w:ascii="Times New Roman" w:hAnsi="Times New Roman" w:cs="Times New Roman"/>
          <w:i/>
          <w:sz w:val="28"/>
          <w:szCs w:val="28"/>
          <w:shd w:val="clear" w:color="auto" w:fill="FFFFFF"/>
        </w:rPr>
        <w:t>слабые стороны</w:t>
      </w:r>
      <w:r w:rsidRPr="001F0139">
        <w:rPr>
          <w:rFonts w:ascii="Times New Roman" w:hAnsi="Times New Roman" w:cs="Times New Roman"/>
          <w:b/>
          <w:sz w:val="28"/>
          <w:szCs w:val="28"/>
          <w:shd w:val="clear" w:color="auto" w:fill="FFFFFF"/>
        </w:rPr>
        <w:t xml:space="preserve">: </w:t>
      </w:r>
      <w:r w:rsidRPr="001F0139">
        <w:rPr>
          <w:rFonts w:ascii="Times New Roman" w:hAnsi="Times New Roman" w:cs="Times New Roman"/>
          <w:sz w:val="28"/>
          <w:szCs w:val="28"/>
        </w:rPr>
        <w:t>не развита потребительская кооперация по розничной торговле, а в сфере услуг ее объемы сокращаются; не развита система бытового обслуживания. Многие виды бытовых услуг отсутствуют.</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sz w:val="28"/>
          <w:szCs w:val="28"/>
          <w:shd w:val="clear" w:color="auto" w:fill="FFFFFF"/>
        </w:rPr>
        <w:t>Угрозы</w:t>
      </w:r>
      <w:r w:rsidRPr="001F0139">
        <w:rPr>
          <w:rFonts w:ascii="Times New Roman" w:hAnsi="Times New Roman" w:cs="Times New Roman"/>
          <w:sz w:val="28"/>
          <w:szCs w:val="28"/>
          <w:shd w:val="clear" w:color="auto" w:fill="FFFFFF"/>
        </w:rPr>
        <w:t xml:space="preserve"> развития сферы услуг и потребительского рынка обусловлены внешними негативными обстоятельствами, вызванными общеэкономической нестабильностью, </w:t>
      </w:r>
      <w:r w:rsidRPr="001F0139">
        <w:rPr>
          <w:rFonts w:ascii="Times New Roman" w:hAnsi="Times New Roman" w:cs="Times New Roman"/>
          <w:sz w:val="28"/>
          <w:szCs w:val="28"/>
        </w:rPr>
        <w:t>сокращением расходов местного бюджета на поддержку организаций, работающих в сфере розничной торговли и закрытием ряда торговых сетей в связи с падением прибыли.</w:t>
      </w:r>
    </w:p>
    <w:p w:rsidR="004D4A30" w:rsidRPr="001F0139" w:rsidRDefault="004D4A30" w:rsidP="001F0139">
      <w:pPr>
        <w:spacing w:after="0" w:line="360" w:lineRule="auto"/>
        <w:ind w:firstLine="709"/>
        <w:jc w:val="both"/>
        <w:rPr>
          <w:rFonts w:ascii="Times New Roman" w:hAnsi="Times New Roman" w:cs="Times New Roman"/>
          <w:sz w:val="28"/>
          <w:szCs w:val="28"/>
          <w:shd w:val="clear" w:color="auto" w:fill="FFFFFF"/>
        </w:rPr>
      </w:pPr>
      <w:r w:rsidRPr="001F0139">
        <w:rPr>
          <w:rFonts w:ascii="Times New Roman" w:hAnsi="Times New Roman" w:cs="Times New Roman"/>
          <w:sz w:val="28"/>
          <w:szCs w:val="28"/>
          <w:shd w:val="clear" w:color="auto" w:fill="FFFFFF"/>
        </w:rPr>
        <w:t xml:space="preserve"> </w:t>
      </w:r>
      <w:r w:rsidRPr="001F0139">
        <w:rPr>
          <w:rFonts w:ascii="Times New Roman" w:hAnsi="Times New Roman" w:cs="Times New Roman"/>
          <w:i/>
          <w:sz w:val="28"/>
          <w:szCs w:val="28"/>
          <w:shd w:val="clear" w:color="auto" w:fill="FFFFFF"/>
        </w:rPr>
        <w:t>Возможности</w:t>
      </w:r>
      <w:r w:rsidRPr="001F0139">
        <w:rPr>
          <w:rFonts w:ascii="Times New Roman" w:hAnsi="Times New Roman" w:cs="Times New Roman"/>
          <w:sz w:val="28"/>
          <w:szCs w:val="28"/>
          <w:shd w:val="clear" w:color="auto" w:fill="FFFFFF"/>
        </w:rPr>
        <w:t xml:space="preserve"> развития потребительского рынка и сферы услуг связаны, прежде всего, с повышением качества и расширением видов платных услуг, предоставляемых населению; повышением уровня добротности и дизайна торговых объектов; </w:t>
      </w:r>
      <w:r w:rsidRPr="001F0139">
        <w:rPr>
          <w:rFonts w:ascii="Times New Roman" w:hAnsi="Times New Roman" w:cs="Times New Roman"/>
          <w:sz w:val="28"/>
          <w:szCs w:val="28"/>
        </w:rPr>
        <w:t>повышением качества обслуживания на предприятиях общественного питания.</w:t>
      </w:r>
    </w:p>
    <w:p w:rsidR="004D4A30" w:rsidRPr="001F0139" w:rsidRDefault="004D4A30" w:rsidP="001F0139">
      <w:pPr>
        <w:spacing w:after="0" w:line="360" w:lineRule="auto"/>
        <w:ind w:firstLine="709"/>
        <w:jc w:val="both"/>
        <w:rPr>
          <w:rFonts w:ascii="Times New Roman" w:eastAsia="Times New Roman" w:hAnsi="Times New Roman" w:cs="Times New Roman"/>
          <w:b/>
          <w:i/>
          <w:color w:val="365F91"/>
          <w:sz w:val="28"/>
          <w:szCs w:val="28"/>
          <w:lang w:eastAsia="ru-RU"/>
        </w:rPr>
      </w:pPr>
      <w:r w:rsidRPr="001F0139">
        <w:rPr>
          <w:rFonts w:ascii="Times New Roman" w:eastAsia="Times New Roman" w:hAnsi="Times New Roman" w:cs="Times New Roman"/>
          <w:b/>
          <w:i/>
          <w:color w:val="365F91"/>
          <w:sz w:val="28"/>
          <w:szCs w:val="28"/>
          <w:lang w:eastAsia="ru-RU"/>
        </w:rPr>
        <w:t>Инвестиции</w:t>
      </w:r>
    </w:p>
    <w:p w:rsidR="004D4A30" w:rsidRPr="001F0139" w:rsidRDefault="004D4A30" w:rsidP="001F0139">
      <w:pPr>
        <w:spacing w:after="0" w:line="360" w:lineRule="auto"/>
        <w:ind w:firstLine="709"/>
        <w:jc w:val="both"/>
        <w:rPr>
          <w:rFonts w:ascii="Times New Roman" w:hAnsi="Times New Roman" w:cs="Times New Roman"/>
          <w:iCs/>
          <w:sz w:val="28"/>
          <w:szCs w:val="28"/>
        </w:rPr>
      </w:pPr>
      <w:r w:rsidRPr="001F0139">
        <w:rPr>
          <w:rFonts w:ascii="Times New Roman" w:hAnsi="Times New Roman" w:cs="Times New Roman"/>
          <w:sz w:val="28"/>
          <w:szCs w:val="28"/>
        </w:rPr>
        <w:t xml:space="preserve"> </w:t>
      </w:r>
      <w:r w:rsidRPr="001F0139">
        <w:rPr>
          <w:rFonts w:ascii="Times New Roman" w:hAnsi="Times New Roman" w:cs="Times New Roman"/>
          <w:i/>
          <w:iCs/>
          <w:sz w:val="28"/>
          <w:szCs w:val="28"/>
        </w:rPr>
        <w:t>К сильным сторонам</w:t>
      </w:r>
      <w:r w:rsidRPr="001F0139">
        <w:rPr>
          <w:rFonts w:ascii="Times New Roman" w:hAnsi="Times New Roman" w:cs="Times New Roman"/>
          <w:iCs/>
          <w:sz w:val="28"/>
          <w:szCs w:val="28"/>
        </w:rPr>
        <w:t xml:space="preserve"> можно отнести </w:t>
      </w:r>
      <w:r w:rsidRPr="001F0139">
        <w:rPr>
          <w:rFonts w:ascii="Times New Roman" w:hAnsi="Times New Roman" w:cs="Times New Roman"/>
          <w:sz w:val="28"/>
          <w:szCs w:val="28"/>
        </w:rPr>
        <w:t>наличие свободных инвестиционно-привлекательных земельных участков, предназначенных под застройку населением и бизнесом, наличие документов, регламентирующих инвестиционное развитие муниципального района, положительную динамику темпов роста инвестиционных вложений.</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Cs/>
          <w:sz w:val="28"/>
          <w:szCs w:val="28"/>
        </w:rPr>
        <w:t xml:space="preserve">Одновременно с этими обстоятельствами, отмечены </w:t>
      </w:r>
      <w:r w:rsidRPr="001F0139">
        <w:rPr>
          <w:rFonts w:ascii="Times New Roman" w:hAnsi="Times New Roman" w:cs="Times New Roman"/>
          <w:b/>
          <w:i/>
          <w:iCs/>
          <w:sz w:val="28"/>
          <w:szCs w:val="28"/>
        </w:rPr>
        <w:t>слабые стороны</w:t>
      </w:r>
      <w:r w:rsidRPr="001F0139">
        <w:rPr>
          <w:rFonts w:ascii="Times New Roman" w:hAnsi="Times New Roman" w:cs="Times New Roman"/>
          <w:iCs/>
          <w:sz w:val="28"/>
          <w:szCs w:val="28"/>
        </w:rPr>
        <w:t xml:space="preserve"> в развитии инвестиционной деятельности на территории района: </w:t>
      </w:r>
      <w:r w:rsidRPr="001F0139">
        <w:rPr>
          <w:rFonts w:ascii="Times New Roman" w:hAnsi="Times New Roman" w:cs="Times New Roman"/>
          <w:sz w:val="28"/>
          <w:szCs w:val="28"/>
        </w:rPr>
        <w:t xml:space="preserve">дотационный бюджет района; отсутствие привлеченных зарубежных инвестиций; дефицит собственных финансовых средств. </w:t>
      </w:r>
    </w:p>
    <w:p w:rsidR="004D4A30" w:rsidRPr="001F0139" w:rsidRDefault="004D4A30" w:rsidP="001F0139">
      <w:pPr>
        <w:spacing w:after="0" w:line="360" w:lineRule="auto"/>
        <w:ind w:firstLine="709"/>
        <w:jc w:val="both"/>
        <w:rPr>
          <w:rFonts w:ascii="Times New Roman" w:hAnsi="Times New Roman" w:cs="Times New Roman"/>
          <w:iCs/>
          <w:sz w:val="28"/>
          <w:szCs w:val="28"/>
        </w:rPr>
      </w:pPr>
      <w:r w:rsidRPr="001F0139">
        <w:rPr>
          <w:rFonts w:ascii="Times New Roman" w:hAnsi="Times New Roman" w:cs="Times New Roman"/>
          <w:iCs/>
          <w:sz w:val="28"/>
          <w:szCs w:val="28"/>
        </w:rPr>
        <w:t xml:space="preserve">Благоприятные перспективы, </w:t>
      </w:r>
      <w:r w:rsidRPr="001F0139">
        <w:rPr>
          <w:rFonts w:ascii="Times New Roman" w:hAnsi="Times New Roman" w:cs="Times New Roman"/>
          <w:i/>
          <w:iCs/>
          <w:sz w:val="28"/>
          <w:szCs w:val="28"/>
        </w:rPr>
        <w:t>потенциальные возможности</w:t>
      </w:r>
      <w:r w:rsidRPr="001F0139">
        <w:rPr>
          <w:rFonts w:ascii="Times New Roman" w:hAnsi="Times New Roman" w:cs="Times New Roman"/>
          <w:iCs/>
          <w:sz w:val="28"/>
          <w:szCs w:val="28"/>
        </w:rPr>
        <w:t xml:space="preserve"> развития инвестиционной деятельности на территории Камышлинского района связаны со следующими мероприятиями:</w:t>
      </w:r>
    </w:p>
    <w:p w:rsidR="004D4A30" w:rsidRPr="001F0139" w:rsidRDefault="004D4A30" w:rsidP="001F0139">
      <w:pPr>
        <w:numPr>
          <w:ilvl w:val="0"/>
          <w:numId w:val="9"/>
        </w:numPr>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lastRenderedPageBreak/>
        <w:t>реализация федеральных и региональных инвестиционных проектов и программ, создающих новые импульсы для развития муниципального района;</w:t>
      </w:r>
    </w:p>
    <w:p w:rsidR="004D4A30" w:rsidRPr="001F0139" w:rsidRDefault="004D4A30" w:rsidP="001F0139">
      <w:pPr>
        <w:numPr>
          <w:ilvl w:val="0"/>
          <w:numId w:val="9"/>
        </w:numPr>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участие в программах и конкурсах привлечения инвестиций;</w:t>
      </w:r>
    </w:p>
    <w:p w:rsidR="004D4A30" w:rsidRPr="001F0139" w:rsidRDefault="004D4A30" w:rsidP="001F0139">
      <w:pPr>
        <w:numPr>
          <w:ilvl w:val="0"/>
          <w:numId w:val="9"/>
        </w:numPr>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развитие механизма муниципально-частного партнерства;</w:t>
      </w:r>
    </w:p>
    <w:p w:rsidR="004D4A30" w:rsidRPr="001F0139" w:rsidRDefault="004D4A30" w:rsidP="001F0139">
      <w:pPr>
        <w:numPr>
          <w:ilvl w:val="0"/>
          <w:numId w:val="9"/>
        </w:numPr>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повышение инвестиционной активности местных инвесторов и привлечение зарубежных партнеров;</w:t>
      </w:r>
    </w:p>
    <w:p w:rsidR="004D4A30" w:rsidRPr="001F0139" w:rsidRDefault="004D4A30" w:rsidP="001F0139">
      <w:pPr>
        <w:numPr>
          <w:ilvl w:val="0"/>
          <w:numId w:val="9"/>
        </w:numPr>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увеличение доли собственных доходов бюджета в общих доходах местного бюджета;</w:t>
      </w:r>
    </w:p>
    <w:p w:rsidR="004D4A30" w:rsidRPr="001F0139" w:rsidRDefault="004D4A30" w:rsidP="001F0139">
      <w:pPr>
        <w:numPr>
          <w:ilvl w:val="0"/>
          <w:numId w:val="9"/>
        </w:numPr>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наращивание налогового потенциала.</w:t>
      </w:r>
    </w:p>
    <w:p w:rsidR="004D4A30" w:rsidRPr="001F0139" w:rsidRDefault="004D4A30" w:rsidP="001F0139">
      <w:pPr>
        <w:spacing w:after="0" w:line="360" w:lineRule="auto"/>
        <w:ind w:firstLine="709"/>
        <w:jc w:val="both"/>
        <w:rPr>
          <w:rFonts w:ascii="Times New Roman" w:hAnsi="Times New Roman" w:cs="Times New Roman"/>
          <w:iCs/>
          <w:sz w:val="28"/>
          <w:szCs w:val="28"/>
        </w:rPr>
      </w:pPr>
      <w:r w:rsidRPr="001F0139">
        <w:rPr>
          <w:rFonts w:ascii="Times New Roman" w:hAnsi="Times New Roman" w:cs="Times New Roman"/>
          <w:iCs/>
          <w:sz w:val="28"/>
          <w:szCs w:val="28"/>
        </w:rPr>
        <w:t xml:space="preserve">Инвестиционную активность в районе сдерживают следующие обстоятельства, формирующие </w:t>
      </w:r>
      <w:r w:rsidRPr="001F0139">
        <w:rPr>
          <w:rFonts w:ascii="Times New Roman" w:hAnsi="Times New Roman" w:cs="Times New Roman"/>
          <w:i/>
          <w:iCs/>
          <w:sz w:val="28"/>
          <w:szCs w:val="28"/>
        </w:rPr>
        <w:t>внешние угрозы</w:t>
      </w:r>
      <w:r w:rsidRPr="001F0139">
        <w:rPr>
          <w:rFonts w:ascii="Times New Roman" w:hAnsi="Times New Roman" w:cs="Times New Roman"/>
          <w:iCs/>
          <w:sz w:val="28"/>
          <w:szCs w:val="28"/>
        </w:rPr>
        <w:t xml:space="preserve">: рост инфляции; снижение надежности </w:t>
      </w:r>
      <w:r w:rsidRPr="001F0139">
        <w:rPr>
          <w:rFonts w:ascii="Times New Roman" w:hAnsi="Times New Roman" w:cs="Times New Roman"/>
          <w:sz w:val="28"/>
          <w:szCs w:val="28"/>
        </w:rPr>
        <w:t>финансовой системы страны; сокращение предложения и удорожание финансовых и инвестиционных ресурсов; сокращение налоговой базы в связи с рецессией в экономике; замедление темпов экономического развития и, как следствие, снижение темпов роста инвестиций; рост конкуренции за инвестиционные ресурсы, в том числе бюджетные.</w:t>
      </w:r>
    </w:p>
    <w:p w:rsidR="004D4A30" w:rsidRPr="001F0139" w:rsidRDefault="004D4A30" w:rsidP="001F0139">
      <w:pPr>
        <w:spacing w:after="0" w:line="360" w:lineRule="auto"/>
        <w:ind w:firstLine="709"/>
        <w:jc w:val="both"/>
        <w:rPr>
          <w:rFonts w:ascii="Times New Roman" w:eastAsia="Times New Roman" w:hAnsi="Times New Roman" w:cs="Times New Roman"/>
          <w:b/>
          <w:i/>
          <w:color w:val="365F91"/>
          <w:sz w:val="28"/>
          <w:szCs w:val="28"/>
          <w:lang w:eastAsia="ru-RU"/>
        </w:rPr>
      </w:pPr>
      <w:r w:rsidRPr="001F0139">
        <w:rPr>
          <w:rFonts w:ascii="Times New Roman" w:eastAsia="Times New Roman" w:hAnsi="Times New Roman" w:cs="Times New Roman"/>
          <w:b/>
          <w:i/>
          <w:color w:val="365F91"/>
          <w:sz w:val="28"/>
          <w:szCs w:val="28"/>
          <w:lang w:eastAsia="ru-RU"/>
        </w:rPr>
        <w:t>Финансовое обеспечение развития МО</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sz w:val="28"/>
          <w:szCs w:val="28"/>
        </w:rPr>
        <w:t xml:space="preserve"> </w:t>
      </w:r>
      <w:r w:rsidRPr="001F0139">
        <w:rPr>
          <w:rFonts w:ascii="Times New Roman" w:hAnsi="Times New Roman" w:cs="Times New Roman"/>
          <w:i/>
          <w:sz w:val="28"/>
          <w:szCs w:val="28"/>
          <w:shd w:val="clear" w:color="auto" w:fill="FFFFFF"/>
        </w:rPr>
        <w:t>К сильным сторонам</w:t>
      </w:r>
      <w:r w:rsidRPr="001F0139">
        <w:rPr>
          <w:rFonts w:ascii="Times New Roman" w:hAnsi="Times New Roman" w:cs="Times New Roman"/>
          <w:sz w:val="28"/>
          <w:szCs w:val="28"/>
          <w:shd w:val="clear" w:color="auto" w:fill="FFFFFF"/>
        </w:rPr>
        <w:t xml:space="preserve"> относятся: </w:t>
      </w:r>
      <w:r w:rsidRPr="001F0139">
        <w:rPr>
          <w:rFonts w:ascii="Times New Roman" w:hAnsi="Times New Roman" w:cs="Times New Roman"/>
          <w:sz w:val="28"/>
          <w:szCs w:val="28"/>
        </w:rPr>
        <w:t>положительная динамика наполняемости бюджета за счет налоговых поступлений, положительная динамика расходов бюджета на национальную экономику и культуру, возобновление финансирования местным бюджетом физической культуры и спорта (с 2015 г.).</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shd w:val="clear" w:color="auto" w:fill="FFFFFF"/>
        </w:rPr>
        <w:t xml:space="preserve">Наряду с положительными характеристиками финансового обеспечения Камышлинского района, существует и ряд проблем, определяющих его </w:t>
      </w:r>
      <w:r w:rsidRPr="001F0139">
        <w:rPr>
          <w:rFonts w:ascii="Times New Roman" w:hAnsi="Times New Roman" w:cs="Times New Roman"/>
          <w:i/>
          <w:sz w:val="28"/>
          <w:szCs w:val="28"/>
          <w:shd w:val="clear" w:color="auto" w:fill="FFFFFF"/>
        </w:rPr>
        <w:t>слабые стороны</w:t>
      </w:r>
      <w:r w:rsidRPr="001F0139">
        <w:rPr>
          <w:rFonts w:ascii="Times New Roman" w:hAnsi="Times New Roman" w:cs="Times New Roman"/>
          <w:sz w:val="28"/>
          <w:szCs w:val="28"/>
          <w:shd w:val="clear" w:color="auto" w:fill="FFFFFF"/>
        </w:rPr>
        <w:t xml:space="preserve">: </w:t>
      </w:r>
      <w:r w:rsidRPr="001F0139">
        <w:rPr>
          <w:rFonts w:ascii="Times New Roman" w:hAnsi="Times New Roman" w:cs="Times New Roman"/>
          <w:sz w:val="28"/>
          <w:szCs w:val="28"/>
        </w:rPr>
        <w:t>отрицательная динамика наполняемости бюджета за счет неналоговых поступлений; высокий уровень дотационности местного бюджета; отрицательная динамика расходов бюджета на ЖКХ, образование и социальную политику.</w:t>
      </w:r>
    </w:p>
    <w:p w:rsidR="004D4A30" w:rsidRPr="001F0139" w:rsidRDefault="004D4A30" w:rsidP="001F0139">
      <w:pPr>
        <w:spacing w:after="0" w:line="360" w:lineRule="auto"/>
        <w:ind w:firstLine="709"/>
        <w:jc w:val="both"/>
        <w:rPr>
          <w:rFonts w:ascii="Times New Roman" w:hAnsi="Times New Roman" w:cs="Times New Roman"/>
          <w:iCs/>
          <w:sz w:val="28"/>
          <w:szCs w:val="28"/>
        </w:rPr>
      </w:pPr>
      <w:r w:rsidRPr="001F0139">
        <w:rPr>
          <w:rFonts w:ascii="Times New Roman" w:hAnsi="Times New Roman" w:cs="Times New Roman"/>
          <w:iCs/>
          <w:sz w:val="28"/>
          <w:szCs w:val="28"/>
        </w:rPr>
        <w:lastRenderedPageBreak/>
        <w:t xml:space="preserve">Благоприятные перспективы, </w:t>
      </w:r>
      <w:r w:rsidRPr="001F0139">
        <w:rPr>
          <w:rFonts w:ascii="Times New Roman" w:hAnsi="Times New Roman" w:cs="Times New Roman"/>
          <w:i/>
          <w:iCs/>
          <w:sz w:val="28"/>
          <w:szCs w:val="28"/>
        </w:rPr>
        <w:t>потенциальные возможности</w:t>
      </w:r>
      <w:r w:rsidRPr="001F0139">
        <w:rPr>
          <w:rFonts w:ascii="Times New Roman" w:hAnsi="Times New Roman" w:cs="Times New Roman"/>
          <w:iCs/>
          <w:sz w:val="28"/>
          <w:szCs w:val="28"/>
        </w:rPr>
        <w:t xml:space="preserve"> </w:t>
      </w:r>
      <w:r w:rsidRPr="001F0139">
        <w:rPr>
          <w:rFonts w:ascii="Times New Roman" w:hAnsi="Times New Roman" w:cs="Times New Roman"/>
          <w:sz w:val="28"/>
          <w:szCs w:val="28"/>
          <w:shd w:val="clear" w:color="auto" w:fill="FFFFFF"/>
        </w:rPr>
        <w:t>финансового обеспечения</w:t>
      </w:r>
      <w:r w:rsidRPr="001F0139">
        <w:rPr>
          <w:rFonts w:ascii="Times New Roman" w:hAnsi="Times New Roman" w:cs="Times New Roman"/>
          <w:iCs/>
          <w:sz w:val="28"/>
          <w:szCs w:val="28"/>
        </w:rPr>
        <w:t xml:space="preserve"> Камышлинского района связаны со следующими мероприятиями:</w:t>
      </w:r>
    </w:p>
    <w:p w:rsidR="004D4A30" w:rsidRPr="001F0139" w:rsidRDefault="004D4A30" w:rsidP="001F0139">
      <w:pPr>
        <w:numPr>
          <w:ilvl w:val="0"/>
          <w:numId w:val="6"/>
        </w:numPr>
        <w:tabs>
          <w:tab w:val="left" w:pos="993"/>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улучшение качества администрирования местных налогов, повышение качества прогнозирования и планирования доходов бюджета района;</w:t>
      </w:r>
    </w:p>
    <w:p w:rsidR="004D4A30" w:rsidRPr="001F0139" w:rsidRDefault="004D4A30" w:rsidP="001F0139">
      <w:pPr>
        <w:numPr>
          <w:ilvl w:val="0"/>
          <w:numId w:val="6"/>
        </w:numPr>
        <w:tabs>
          <w:tab w:val="left" w:pos="993"/>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увеличение доходной части бюджета;</w:t>
      </w:r>
    </w:p>
    <w:p w:rsidR="004D4A30" w:rsidRPr="001F0139" w:rsidRDefault="004D4A30" w:rsidP="001F0139">
      <w:pPr>
        <w:numPr>
          <w:ilvl w:val="0"/>
          <w:numId w:val="6"/>
        </w:numPr>
        <w:tabs>
          <w:tab w:val="left" w:pos="993"/>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оптимизация действующих расходных обязательств и повышение эффективности использования финансовых ресурсов.</w:t>
      </w:r>
    </w:p>
    <w:p w:rsidR="004D4A30" w:rsidRPr="001F0139" w:rsidRDefault="004D4A30" w:rsidP="001F0139">
      <w:pPr>
        <w:spacing w:after="0" w:line="360" w:lineRule="auto"/>
        <w:ind w:firstLine="709"/>
        <w:jc w:val="both"/>
        <w:rPr>
          <w:rFonts w:ascii="Times New Roman" w:hAnsi="Times New Roman" w:cs="Times New Roman"/>
          <w:iCs/>
          <w:sz w:val="28"/>
          <w:szCs w:val="28"/>
        </w:rPr>
      </w:pPr>
      <w:r w:rsidRPr="001F0139">
        <w:rPr>
          <w:rFonts w:ascii="Times New Roman" w:hAnsi="Times New Roman" w:cs="Times New Roman"/>
          <w:iCs/>
          <w:sz w:val="28"/>
          <w:szCs w:val="28"/>
        </w:rPr>
        <w:t xml:space="preserve">Среди </w:t>
      </w:r>
      <w:r w:rsidRPr="001F0139">
        <w:rPr>
          <w:rFonts w:ascii="Times New Roman" w:hAnsi="Times New Roman" w:cs="Times New Roman"/>
          <w:i/>
          <w:iCs/>
          <w:sz w:val="28"/>
          <w:szCs w:val="28"/>
        </w:rPr>
        <w:t>возможных угроз:</w:t>
      </w:r>
      <w:r w:rsidRPr="001F0139">
        <w:rPr>
          <w:rFonts w:ascii="Times New Roman" w:hAnsi="Times New Roman" w:cs="Times New Roman"/>
          <w:iCs/>
          <w:sz w:val="28"/>
          <w:szCs w:val="28"/>
        </w:rPr>
        <w:t xml:space="preserve"> </w:t>
      </w:r>
    </w:p>
    <w:p w:rsidR="004D4A30" w:rsidRPr="001F0139" w:rsidRDefault="004D4A30" w:rsidP="001F0139">
      <w:pPr>
        <w:numPr>
          <w:ilvl w:val="0"/>
          <w:numId w:val="10"/>
        </w:numPr>
        <w:tabs>
          <w:tab w:val="left" w:pos="993"/>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угроза повышения зависимости от дотаций, субсидий и субвенций регионального бюджета;</w:t>
      </w:r>
    </w:p>
    <w:p w:rsidR="004D4A30" w:rsidRPr="001F0139" w:rsidRDefault="004D4A30" w:rsidP="001F0139">
      <w:pPr>
        <w:numPr>
          <w:ilvl w:val="0"/>
          <w:numId w:val="10"/>
        </w:numPr>
        <w:tabs>
          <w:tab w:val="left" w:pos="993"/>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угроза финансового кризиса и ухода с территории бюджетообразующих предприятий.</w:t>
      </w:r>
    </w:p>
    <w:p w:rsidR="004D4A30" w:rsidRPr="001F0139" w:rsidRDefault="004D4A30" w:rsidP="001F0139">
      <w:pPr>
        <w:spacing w:after="0" w:line="360" w:lineRule="auto"/>
        <w:ind w:firstLine="709"/>
        <w:jc w:val="both"/>
        <w:rPr>
          <w:rFonts w:ascii="Times New Roman" w:eastAsia="Times New Roman" w:hAnsi="Times New Roman" w:cs="Times New Roman"/>
          <w:b/>
          <w:i/>
          <w:color w:val="365F91"/>
          <w:sz w:val="28"/>
          <w:szCs w:val="28"/>
          <w:lang w:eastAsia="ru-RU"/>
        </w:rPr>
      </w:pPr>
      <w:r w:rsidRPr="001F0139">
        <w:rPr>
          <w:rFonts w:ascii="Times New Roman" w:eastAsia="Times New Roman" w:hAnsi="Times New Roman" w:cs="Times New Roman"/>
          <w:b/>
          <w:i/>
          <w:color w:val="365F91"/>
          <w:sz w:val="28"/>
          <w:szCs w:val="28"/>
          <w:lang w:eastAsia="ru-RU"/>
        </w:rPr>
        <w:t>Муниципальное управление</w:t>
      </w:r>
    </w:p>
    <w:p w:rsidR="004D4A30" w:rsidRPr="001F0139" w:rsidRDefault="004D4A30" w:rsidP="001F0139">
      <w:pPr>
        <w:spacing w:after="0" w:line="360" w:lineRule="auto"/>
        <w:ind w:firstLine="709"/>
        <w:jc w:val="both"/>
        <w:rPr>
          <w:rFonts w:ascii="Times New Roman" w:hAnsi="Times New Roman" w:cs="Times New Roman"/>
          <w:sz w:val="28"/>
          <w:szCs w:val="28"/>
          <w:shd w:val="clear" w:color="auto" w:fill="FFFFFF"/>
        </w:rPr>
      </w:pPr>
      <w:r w:rsidRPr="001F0139">
        <w:rPr>
          <w:rFonts w:ascii="Times New Roman" w:hAnsi="Times New Roman" w:cs="Times New Roman"/>
          <w:sz w:val="28"/>
          <w:szCs w:val="28"/>
        </w:rPr>
        <w:t xml:space="preserve"> </w:t>
      </w:r>
      <w:r w:rsidRPr="001F0139">
        <w:rPr>
          <w:rFonts w:ascii="Times New Roman" w:hAnsi="Times New Roman" w:cs="Times New Roman"/>
          <w:sz w:val="28"/>
          <w:szCs w:val="28"/>
          <w:shd w:val="clear" w:color="auto" w:fill="FFFFFF"/>
        </w:rPr>
        <w:t xml:space="preserve">К </w:t>
      </w:r>
      <w:r w:rsidRPr="001F0139">
        <w:rPr>
          <w:rFonts w:ascii="Times New Roman" w:hAnsi="Times New Roman" w:cs="Times New Roman"/>
          <w:i/>
          <w:sz w:val="28"/>
          <w:szCs w:val="28"/>
          <w:shd w:val="clear" w:color="auto" w:fill="FFFFFF"/>
        </w:rPr>
        <w:t>сильным сторонам</w:t>
      </w:r>
      <w:r w:rsidRPr="001F0139">
        <w:rPr>
          <w:rFonts w:ascii="Times New Roman" w:hAnsi="Times New Roman" w:cs="Times New Roman"/>
          <w:sz w:val="28"/>
          <w:szCs w:val="28"/>
          <w:shd w:val="clear" w:color="auto" w:fill="FFFFFF"/>
        </w:rPr>
        <w:t xml:space="preserve"> относятся:</w:t>
      </w:r>
    </w:p>
    <w:p w:rsidR="004D4A30" w:rsidRPr="001F0139" w:rsidRDefault="004D4A30" w:rsidP="001F0139">
      <w:pPr>
        <w:numPr>
          <w:ilvl w:val="0"/>
          <w:numId w:val="7"/>
        </w:numPr>
        <w:tabs>
          <w:tab w:val="left" w:pos="1134"/>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сформирован реестр муниципальных услуг, предоставляемых на территории района;</w:t>
      </w:r>
    </w:p>
    <w:p w:rsidR="004D4A30" w:rsidRPr="001F0139" w:rsidRDefault="004D4A30" w:rsidP="001F0139">
      <w:pPr>
        <w:numPr>
          <w:ilvl w:val="0"/>
          <w:numId w:val="7"/>
        </w:numPr>
        <w:tabs>
          <w:tab w:val="left" w:pos="1134"/>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наличие многофункционального центра предоставления государственных и муниципальных услуг;</w:t>
      </w:r>
    </w:p>
    <w:p w:rsidR="004D4A30" w:rsidRPr="001F0139" w:rsidRDefault="004D4A30" w:rsidP="001F0139">
      <w:pPr>
        <w:numPr>
          <w:ilvl w:val="0"/>
          <w:numId w:val="7"/>
        </w:numPr>
        <w:tabs>
          <w:tab w:val="left" w:pos="1134"/>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уровень удовлетворенности граждан качеством предоставления государственных и муниципальных за 2016 года составляет 100%;</w:t>
      </w:r>
    </w:p>
    <w:p w:rsidR="004D4A30" w:rsidRPr="001F0139" w:rsidRDefault="004D4A30" w:rsidP="001F0139">
      <w:pPr>
        <w:numPr>
          <w:ilvl w:val="0"/>
          <w:numId w:val="7"/>
        </w:numPr>
        <w:tabs>
          <w:tab w:val="left" w:pos="1134"/>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 xml:space="preserve">наличие Проекта поддержки местных инициатив. </w:t>
      </w:r>
    </w:p>
    <w:p w:rsidR="004D4A30" w:rsidRPr="001F0139" w:rsidRDefault="004D4A30" w:rsidP="001F0139">
      <w:pPr>
        <w:spacing w:after="0" w:line="360" w:lineRule="auto"/>
        <w:ind w:firstLine="709"/>
        <w:jc w:val="both"/>
        <w:rPr>
          <w:rFonts w:ascii="Times New Roman" w:hAnsi="Times New Roman" w:cs="Times New Roman"/>
          <w:sz w:val="28"/>
          <w:szCs w:val="28"/>
          <w:shd w:val="clear" w:color="auto" w:fill="FFFFFF"/>
        </w:rPr>
      </w:pPr>
      <w:r w:rsidRPr="001F0139">
        <w:rPr>
          <w:rFonts w:ascii="Times New Roman" w:hAnsi="Times New Roman" w:cs="Times New Roman"/>
          <w:i/>
          <w:sz w:val="28"/>
          <w:szCs w:val="28"/>
          <w:shd w:val="clear" w:color="auto" w:fill="FFFFFF"/>
        </w:rPr>
        <w:t>К слабым сторонам</w:t>
      </w:r>
      <w:r w:rsidRPr="001F0139">
        <w:rPr>
          <w:rFonts w:ascii="Times New Roman" w:hAnsi="Times New Roman" w:cs="Times New Roman"/>
          <w:sz w:val="28"/>
          <w:szCs w:val="28"/>
          <w:shd w:val="clear" w:color="auto" w:fill="FFFFFF"/>
        </w:rPr>
        <w:t xml:space="preserve"> можно отнести </w:t>
      </w:r>
      <w:r w:rsidRPr="001F0139">
        <w:rPr>
          <w:rFonts w:ascii="Times New Roman" w:hAnsi="Times New Roman" w:cs="Times New Roman"/>
          <w:sz w:val="28"/>
          <w:szCs w:val="28"/>
        </w:rPr>
        <w:t>низкий уровень удовлетворенности населения деятельностью органов местного самоуправления, равный 76%, что ниже среднего значения по муниципальным районам (77,5%).</w:t>
      </w:r>
      <w:r w:rsidRPr="001F0139">
        <w:rPr>
          <w:rFonts w:ascii="Times New Roman" w:hAnsi="Times New Roman" w:cs="Times New Roman"/>
          <w:sz w:val="28"/>
          <w:szCs w:val="28"/>
          <w:shd w:val="clear" w:color="auto" w:fill="FFFFFF"/>
        </w:rPr>
        <w:t xml:space="preserve"> </w:t>
      </w:r>
    </w:p>
    <w:p w:rsidR="004D4A30" w:rsidRPr="001F0139" w:rsidRDefault="004D4A30" w:rsidP="001F0139">
      <w:pPr>
        <w:spacing w:after="0" w:line="360" w:lineRule="auto"/>
        <w:ind w:firstLine="709"/>
        <w:jc w:val="both"/>
        <w:rPr>
          <w:rFonts w:ascii="Times New Roman" w:hAnsi="Times New Roman" w:cs="Times New Roman"/>
          <w:sz w:val="28"/>
          <w:szCs w:val="28"/>
          <w:shd w:val="clear" w:color="auto" w:fill="FFFFFF"/>
        </w:rPr>
      </w:pPr>
      <w:r w:rsidRPr="001F0139">
        <w:rPr>
          <w:rFonts w:ascii="Times New Roman" w:hAnsi="Times New Roman" w:cs="Times New Roman"/>
          <w:i/>
          <w:sz w:val="28"/>
          <w:szCs w:val="28"/>
          <w:shd w:val="clear" w:color="auto" w:fill="FFFFFF"/>
        </w:rPr>
        <w:t>Потенциальные возможности</w:t>
      </w:r>
      <w:r w:rsidRPr="001F0139">
        <w:rPr>
          <w:rFonts w:ascii="Times New Roman" w:hAnsi="Times New Roman" w:cs="Times New Roman"/>
          <w:sz w:val="28"/>
          <w:szCs w:val="28"/>
          <w:shd w:val="clear" w:color="auto" w:fill="FFFFFF"/>
        </w:rPr>
        <w:t>: демократизация государственного управления и рост созидательной активности селян.</w:t>
      </w:r>
    </w:p>
    <w:p w:rsidR="004D4A30" w:rsidRPr="001F0139" w:rsidRDefault="004D4A30" w:rsidP="001F0139">
      <w:pPr>
        <w:spacing w:after="0" w:line="360" w:lineRule="auto"/>
        <w:ind w:firstLine="709"/>
        <w:jc w:val="both"/>
        <w:rPr>
          <w:rFonts w:ascii="Times New Roman" w:hAnsi="Times New Roman" w:cs="Times New Roman"/>
          <w:sz w:val="28"/>
          <w:szCs w:val="28"/>
          <w:shd w:val="clear" w:color="auto" w:fill="FFFFFF"/>
        </w:rPr>
      </w:pPr>
      <w:r w:rsidRPr="001F0139">
        <w:rPr>
          <w:rFonts w:ascii="Times New Roman" w:hAnsi="Times New Roman" w:cs="Times New Roman"/>
          <w:i/>
          <w:sz w:val="28"/>
          <w:szCs w:val="28"/>
          <w:shd w:val="clear" w:color="auto" w:fill="FFFFFF"/>
        </w:rPr>
        <w:t>К угрозам</w:t>
      </w:r>
      <w:r w:rsidRPr="001F0139">
        <w:rPr>
          <w:rFonts w:ascii="Times New Roman" w:hAnsi="Times New Roman" w:cs="Times New Roman"/>
          <w:b/>
          <w:i/>
          <w:sz w:val="28"/>
          <w:szCs w:val="28"/>
          <w:shd w:val="clear" w:color="auto" w:fill="FFFFFF"/>
        </w:rPr>
        <w:t xml:space="preserve"> </w:t>
      </w:r>
      <w:r w:rsidRPr="001F0139">
        <w:rPr>
          <w:rFonts w:ascii="Times New Roman" w:hAnsi="Times New Roman" w:cs="Times New Roman"/>
          <w:sz w:val="28"/>
          <w:szCs w:val="28"/>
          <w:shd w:val="clear" w:color="auto" w:fill="FFFFFF"/>
        </w:rPr>
        <w:t xml:space="preserve">относится: коррупция в деятельности органов государственной власти, конфликты на этнической и религиозной почве, </w:t>
      </w:r>
      <w:r w:rsidRPr="001F0139">
        <w:rPr>
          <w:rFonts w:ascii="Times New Roman" w:hAnsi="Times New Roman" w:cs="Times New Roman"/>
          <w:sz w:val="28"/>
          <w:szCs w:val="28"/>
          <w:shd w:val="clear" w:color="auto" w:fill="FFFFFF"/>
        </w:rPr>
        <w:lastRenderedPageBreak/>
        <w:t>криминогенная обстановка, невыполнение обязательств органами власти в различных сферах жизни района.</w:t>
      </w:r>
    </w:p>
    <w:p w:rsidR="004D4A30" w:rsidRPr="001F0139" w:rsidRDefault="004D4A30" w:rsidP="001F0139">
      <w:pPr>
        <w:tabs>
          <w:tab w:val="left" w:pos="851"/>
          <w:tab w:val="decimal" w:pos="1418"/>
        </w:tabs>
        <w:spacing w:after="0" w:line="360" w:lineRule="auto"/>
        <w:contextualSpacing/>
        <w:jc w:val="both"/>
        <w:outlineLvl w:val="1"/>
        <w:rPr>
          <w:rFonts w:ascii="Times New Roman" w:hAnsi="Times New Roman" w:cs="Times New Roman"/>
          <w:b/>
          <w:color w:val="365F91"/>
          <w:sz w:val="28"/>
          <w:szCs w:val="28"/>
        </w:rPr>
      </w:pPr>
      <w:bookmarkStart w:id="14" w:name="_Toc520894855"/>
      <w:r w:rsidRPr="001F0139">
        <w:rPr>
          <w:rFonts w:ascii="Times New Roman" w:hAnsi="Times New Roman" w:cs="Times New Roman"/>
          <w:b/>
          <w:color w:val="365F91"/>
          <w:sz w:val="28"/>
          <w:szCs w:val="28"/>
        </w:rPr>
        <w:t>4.4.SWOT-анализ ЖКХ и комфортной сред</w:t>
      </w:r>
      <w:bookmarkEnd w:id="14"/>
      <w:r w:rsidRPr="001F0139">
        <w:rPr>
          <w:rFonts w:ascii="Times New Roman" w:hAnsi="Times New Roman" w:cs="Times New Roman"/>
          <w:b/>
          <w:color w:val="365F91"/>
          <w:sz w:val="28"/>
          <w:szCs w:val="28"/>
        </w:rPr>
        <w:t>ы</w:t>
      </w:r>
    </w:p>
    <w:p w:rsidR="004D4A30" w:rsidRPr="001F0139" w:rsidRDefault="004D4A30" w:rsidP="001F0139">
      <w:pPr>
        <w:spacing w:after="0" w:line="360" w:lineRule="auto"/>
        <w:ind w:firstLine="709"/>
        <w:jc w:val="both"/>
        <w:rPr>
          <w:rFonts w:ascii="Times New Roman" w:hAnsi="Times New Roman" w:cs="Times New Roman"/>
          <w:sz w:val="28"/>
          <w:szCs w:val="28"/>
          <w:shd w:val="clear" w:color="auto" w:fill="FFFFFF"/>
        </w:rPr>
      </w:pPr>
      <w:r w:rsidRPr="001F0139">
        <w:rPr>
          <w:rFonts w:ascii="Times New Roman" w:hAnsi="Times New Roman" w:cs="Times New Roman"/>
          <w:sz w:val="28"/>
          <w:szCs w:val="28"/>
        </w:rPr>
        <w:t>SWOT-анализ среды проживания включал экологическую ситуацию; жилищную сферу, градостроительство и благоустройство; жилищно-коммунальное хозяйство; дорожно-транспортный комплекс; информационно-коммуникационную инфраструктуру.</w:t>
      </w:r>
    </w:p>
    <w:p w:rsidR="004D4A30" w:rsidRPr="001F0139" w:rsidRDefault="004D4A30" w:rsidP="001F0139">
      <w:pPr>
        <w:spacing w:after="0" w:line="360" w:lineRule="auto"/>
        <w:ind w:firstLine="709"/>
        <w:jc w:val="both"/>
        <w:rPr>
          <w:rFonts w:ascii="Times New Roman" w:eastAsia="Times New Roman" w:hAnsi="Times New Roman" w:cs="Times New Roman"/>
          <w:b/>
          <w:i/>
          <w:color w:val="365F91"/>
          <w:sz w:val="28"/>
          <w:szCs w:val="28"/>
          <w:lang w:eastAsia="ru-RU"/>
        </w:rPr>
      </w:pPr>
      <w:r w:rsidRPr="001F0139">
        <w:rPr>
          <w:rFonts w:ascii="Times New Roman" w:eastAsia="Times New Roman" w:hAnsi="Times New Roman" w:cs="Times New Roman"/>
          <w:b/>
          <w:i/>
          <w:color w:val="365F91"/>
          <w:sz w:val="28"/>
          <w:szCs w:val="28"/>
          <w:lang w:eastAsia="ru-RU"/>
        </w:rPr>
        <w:t>Жилье, градостроительство и комфортная среда</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b/>
          <w:sz w:val="28"/>
          <w:szCs w:val="28"/>
        </w:rPr>
        <w:t xml:space="preserve"> </w:t>
      </w:r>
      <w:r w:rsidRPr="001F0139">
        <w:rPr>
          <w:rFonts w:ascii="Times New Roman" w:hAnsi="Times New Roman" w:cs="Times New Roman"/>
          <w:iCs/>
          <w:sz w:val="28"/>
          <w:szCs w:val="28"/>
        </w:rPr>
        <w:t xml:space="preserve">В ходе проведенного SWOT-анализа эксперты отнесли </w:t>
      </w:r>
      <w:r w:rsidRPr="001F0139">
        <w:rPr>
          <w:rFonts w:ascii="Times New Roman" w:hAnsi="Times New Roman" w:cs="Times New Roman"/>
          <w:b/>
          <w:iCs/>
          <w:sz w:val="28"/>
          <w:szCs w:val="28"/>
        </w:rPr>
        <w:t xml:space="preserve">к </w:t>
      </w:r>
      <w:r w:rsidRPr="001F0139">
        <w:rPr>
          <w:rFonts w:ascii="Times New Roman" w:hAnsi="Times New Roman" w:cs="Times New Roman"/>
          <w:b/>
          <w:i/>
          <w:iCs/>
          <w:sz w:val="28"/>
          <w:szCs w:val="28"/>
        </w:rPr>
        <w:t>сильным сторонам</w:t>
      </w:r>
      <w:r w:rsidRPr="001F0139">
        <w:rPr>
          <w:rFonts w:ascii="Times New Roman" w:hAnsi="Times New Roman" w:cs="Times New Roman"/>
          <w:iCs/>
          <w:sz w:val="28"/>
          <w:szCs w:val="28"/>
        </w:rPr>
        <w:t xml:space="preserve"> района </w:t>
      </w:r>
      <w:r w:rsidRPr="001F0139">
        <w:rPr>
          <w:rFonts w:ascii="Times New Roman" w:hAnsi="Times New Roman" w:cs="Times New Roman"/>
          <w:sz w:val="28"/>
          <w:szCs w:val="28"/>
        </w:rPr>
        <w:t>наличие основных систем жизнеобеспечения (электроснабжение, водоснабжение, отопление, газоснабжение, связи и т.п.), устойчивый рост обеспеченности жильем и общей площади вводимого в эксплуатацию жилья, увеличение количества индивидуальных застройщиков, уменьшение общей площади ветхих и аварийных жилых помещений, наличие чистой родниковой воды; отсутствие очередей в детские сады; высокий уровень газификации; реализация проекта «Поддержка инициатив населения муниципальных образований на 2017-2025 гг.»; модернизация материально-технической базы ЖКХ; Южный обводной мостовой переход через реку Сок; толерантность, доброжелательность, сохранение традиций, гостеприимство населения.</w:t>
      </w:r>
    </w:p>
    <w:p w:rsidR="004D4A30" w:rsidRPr="001F0139" w:rsidRDefault="004D4A30" w:rsidP="001F0139">
      <w:pPr>
        <w:spacing w:after="0" w:line="360" w:lineRule="auto"/>
        <w:ind w:firstLine="709"/>
        <w:jc w:val="both"/>
        <w:rPr>
          <w:rFonts w:ascii="Times New Roman" w:hAnsi="Times New Roman" w:cs="Times New Roman"/>
          <w:sz w:val="28"/>
          <w:szCs w:val="28"/>
          <w:shd w:val="clear" w:color="auto" w:fill="FFFFFF"/>
        </w:rPr>
      </w:pPr>
      <w:r w:rsidRPr="001F0139">
        <w:rPr>
          <w:rFonts w:ascii="Times New Roman" w:hAnsi="Times New Roman" w:cs="Times New Roman"/>
          <w:i/>
          <w:sz w:val="28"/>
          <w:szCs w:val="28"/>
        </w:rPr>
        <w:t>Слабые стороны</w:t>
      </w:r>
      <w:r w:rsidRPr="001F0139">
        <w:rPr>
          <w:rFonts w:ascii="Times New Roman" w:hAnsi="Times New Roman" w:cs="Times New Roman"/>
          <w:sz w:val="28"/>
          <w:szCs w:val="28"/>
        </w:rPr>
        <w:t xml:space="preserve"> данной сферы жизни Камышлинского района: </w:t>
      </w:r>
      <w:r w:rsidRPr="001F0139">
        <w:rPr>
          <w:rFonts w:ascii="Times New Roman" w:hAnsi="Times New Roman" w:cs="Times New Roman"/>
          <w:color w:val="000000"/>
          <w:sz w:val="28"/>
          <w:szCs w:val="28"/>
        </w:rPr>
        <w:t>отрицательная динамика по вводу в действие общей площади жилых помещений в расчете на 1000 жителей и у</w:t>
      </w:r>
      <w:r w:rsidRPr="001F0139">
        <w:rPr>
          <w:rFonts w:ascii="Times New Roman" w:hAnsi="Times New Roman" w:cs="Times New Roman"/>
          <w:sz w:val="28"/>
          <w:szCs w:val="28"/>
        </w:rPr>
        <w:t>величение числа семей и граждан, состоящих на учете по улучшению жилищных условий; недостаточное финансирование для улучшения жилищных условий населения; износ инженерной инфраструктуры;</w:t>
      </w:r>
      <w:r w:rsidRPr="001F0139">
        <w:rPr>
          <w:rFonts w:ascii="Times New Roman" w:hAnsi="Times New Roman" w:cs="Times New Roman"/>
        </w:rPr>
        <w:t xml:space="preserve"> </w:t>
      </w:r>
      <w:r w:rsidRPr="001F0139">
        <w:rPr>
          <w:rFonts w:ascii="Times New Roman" w:hAnsi="Times New Roman" w:cs="Times New Roman"/>
          <w:sz w:val="28"/>
          <w:szCs w:val="28"/>
        </w:rPr>
        <w:t>отсутствие спорткомлекса с бассейном;</w:t>
      </w:r>
      <w:r w:rsidRPr="001F0139">
        <w:rPr>
          <w:rFonts w:ascii="Times New Roman" w:hAnsi="Times New Roman" w:cs="Times New Roman"/>
        </w:rPr>
        <w:t xml:space="preserve"> </w:t>
      </w:r>
      <w:r w:rsidRPr="001F0139">
        <w:rPr>
          <w:rFonts w:ascii="Times New Roman" w:hAnsi="Times New Roman" w:cs="Times New Roman"/>
          <w:sz w:val="28"/>
          <w:szCs w:val="28"/>
        </w:rPr>
        <w:t>отсутствие оборудованного благоустроенного пляжа; недостаточная протяженность дорог с твердым покрытием; отсутствие банкоматов; повсеместное отсутствие очистных сооружений; низкое качество мобильной и Интернет-связи; отсутствие полигона твёрдых бытовых отходов.</w:t>
      </w:r>
    </w:p>
    <w:p w:rsidR="004D4A30" w:rsidRPr="001F0139" w:rsidRDefault="004D4A30" w:rsidP="001F0139">
      <w:pPr>
        <w:spacing w:after="0" w:line="360" w:lineRule="auto"/>
        <w:ind w:firstLine="709"/>
        <w:jc w:val="both"/>
        <w:rPr>
          <w:rFonts w:ascii="Times New Roman" w:hAnsi="Times New Roman" w:cs="Times New Roman"/>
          <w:iCs/>
          <w:sz w:val="28"/>
          <w:szCs w:val="28"/>
        </w:rPr>
      </w:pPr>
      <w:r w:rsidRPr="001F0139">
        <w:rPr>
          <w:rFonts w:ascii="Times New Roman" w:hAnsi="Times New Roman" w:cs="Times New Roman"/>
          <w:i/>
          <w:iCs/>
          <w:sz w:val="28"/>
          <w:szCs w:val="28"/>
        </w:rPr>
        <w:lastRenderedPageBreak/>
        <w:t>Потенциальными возможностями</w:t>
      </w:r>
      <w:r w:rsidRPr="001F0139">
        <w:rPr>
          <w:rFonts w:ascii="Times New Roman" w:hAnsi="Times New Roman" w:cs="Times New Roman"/>
          <w:iCs/>
          <w:sz w:val="28"/>
          <w:szCs w:val="28"/>
        </w:rPr>
        <w:t xml:space="preserve"> являются: р</w:t>
      </w:r>
      <w:r w:rsidRPr="001F0139">
        <w:rPr>
          <w:rFonts w:ascii="Times New Roman" w:hAnsi="Times New Roman" w:cs="Times New Roman"/>
          <w:sz w:val="28"/>
          <w:szCs w:val="28"/>
        </w:rPr>
        <w:t xml:space="preserve">еализация федерального проекта «Формирование комфортной </w:t>
      </w:r>
      <w:r w:rsidR="001F0139">
        <w:rPr>
          <w:rFonts w:ascii="Times New Roman" w:hAnsi="Times New Roman" w:cs="Times New Roman"/>
          <w:sz w:val="28"/>
          <w:szCs w:val="28"/>
        </w:rPr>
        <w:t>район</w:t>
      </w:r>
      <w:r w:rsidRPr="001F0139">
        <w:rPr>
          <w:rFonts w:ascii="Times New Roman" w:hAnsi="Times New Roman" w:cs="Times New Roman"/>
          <w:sz w:val="28"/>
          <w:szCs w:val="28"/>
        </w:rPr>
        <w:t xml:space="preserve">ской среды»; формирование чёткой градостроительной политики; увеличение общей площади жилых помещений, приходящихся в среднем на одного жителя за счет ввода нового жилья и реконструкции существующего жилья; развитие социальной инфраструктуры; увеличение протяженности и качества дорог с твердым покрытием; повышение эффективности муниципального управления; создание механизма прямого участия граждан в формировании комфортной </w:t>
      </w:r>
      <w:r w:rsidR="001F0139">
        <w:rPr>
          <w:rFonts w:ascii="Times New Roman" w:hAnsi="Times New Roman" w:cs="Times New Roman"/>
          <w:sz w:val="28"/>
          <w:szCs w:val="28"/>
        </w:rPr>
        <w:t>район</w:t>
      </w:r>
      <w:r w:rsidRPr="001F0139">
        <w:rPr>
          <w:rFonts w:ascii="Times New Roman" w:hAnsi="Times New Roman" w:cs="Times New Roman"/>
          <w:sz w:val="28"/>
          <w:szCs w:val="28"/>
        </w:rPr>
        <w:t>ской среды; улучшение экологии за счет уменьшения количества вредных выбросов в атмосферу, строительства очистных сооружений, улучшения состояния рек района, строительство полигона ТБО.</w:t>
      </w:r>
    </w:p>
    <w:p w:rsidR="004D4A30" w:rsidRPr="001F0139" w:rsidRDefault="004D4A30" w:rsidP="001F0139">
      <w:pPr>
        <w:spacing w:after="0" w:line="360" w:lineRule="auto"/>
        <w:ind w:firstLine="709"/>
        <w:jc w:val="both"/>
        <w:rPr>
          <w:rFonts w:ascii="Times New Roman" w:hAnsi="Times New Roman" w:cs="Times New Roman"/>
          <w:b/>
          <w:iCs/>
          <w:sz w:val="28"/>
          <w:szCs w:val="28"/>
        </w:rPr>
      </w:pPr>
      <w:r w:rsidRPr="001F0139">
        <w:rPr>
          <w:rFonts w:ascii="Times New Roman" w:hAnsi="Times New Roman" w:cs="Times New Roman"/>
          <w:i/>
          <w:iCs/>
          <w:sz w:val="28"/>
          <w:szCs w:val="28"/>
        </w:rPr>
        <w:t>К внешним угрозам</w:t>
      </w:r>
      <w:r w:rsidRPr="001F0139">
        <w:rPr>
          <w:rFonts w:ascii="Times New Roman" w:hAnsi="Times New Roman" w:cs="Times New Roman"/>
          <w:iCs/>
          <w:sz w:val="28"/>
          <w:szCs w:val="28"/>
        </w:rPr>
        <w:t xml:space="preserve"> можно отнести </w:t>
      </w:r>
      <w:r w:rsidRPr="001F0139">
        <w:rPr>
          <w:rFonts w:ascii="Times New Roman" w:hAnsi="Times New Roman" w:cs="Times New Roman"/>
          <w:sz w:val="28"/>
          <w:szCs w:val="28"/>
        </w:rPr>
        <w:t>финансовые ограничения в связи с экономической ситуацией в стране и падением доходов населения и бизнеса.</w:t>
      </w:r>
    </w:p>
    <w:p w:rsidR="004D4A30" w:rsidRPr="001F0139" w:rsidRDefault="004D4A30" w:rsidP="001F0139">
      <w:pPr>
        <w:spacing w:after="0" w:line="360" w:lineRule="auto"/>
        <w:ind w:firstLine="709"/>
        <w:jc w:val="both"/>
        <w:rPr>
          <w:rFonts w:ascii="Times New Roman" w:eastAsia="Times New Roman" w:hAnsi="Times New Roman" w:cs="Times New Roman"/>
          <w:b/>
          <w:i/>
          <w:color w:val="365F91"/>
          <w:sz w:val="28"/>
          <w:szCs w:val="28"/>
          <w:lang w:eastAsia="ru-RU"/>
        </w:rPr>
      </w:pPr>
      <w:r w:rsidRPr="001F0139">
        <w:rPr>
          <w:rFonts w:ascii="Times New Roman" w:eastAsia="Times New Roman" w:hAnsi="Times New Roman" w:cs="Times New Roman"/>
          <w:b/>
          <w:i/>
          <w:color w:val="365F91"/>
          <w:sz w:val="28"/>
          <w:szCs w:val="28"/>
          <w:lang w:eastAsia="ru-RU"/>
        </w:rPr>
        <w:t>ЖКХ</w:t>
      </w:r>
    </w:p>
    <w:p w:rsidR="004D4A30" w:rsidRPr="001F0139" w:rsidRDefault="004D4A30" w:rsidP="001F0139">
      <w:pPr>
        <w:spacing w:after="0" w:line="360" w:lineRule="auto"/>
        <w:ind w:firstLine="709"/>
        <w:jc w:val="both"/>
        <w:rPr>
          <w:rFonts w:ascii="Times New Roman" w:hAnsi="Times New Roman" w:cs="Times New Roman"/>
          <w:iCs/>
          <w:sz w:val="28"/>
          <w:szCs w:val="28"/>
        </w:rPr>
      </w:pPr>
      <w:r w:rsidRPr="001F0139">
        <w:rPr>
          <w:rFonts w:ascii="Times New Roman" w:hAnsi="Times New Roman" w:cs="Times New Roman"/>
          <w:i/>
          <w:sz w:val="28"/>
          <w:szCs w:val="28"/>
        </w:rPr>
        <w:t>Сильные стороны</w:t>
      </w:r>
      <w:r w:rsidRPr="001F0139">
        <w:rPr>
          <w:rFonts w:ascii="Times New Roman" w:hAnsi="Times New Roman" w:cs="Times New Roman"/>
          <w:sz w:val="28"/>
          <w:szCs w:val="28"/>
        </w:rPr>
        <w:t xml:space="preserve"> функционирования ЖКХ Камышлинского района:</w:t>
      </w:r>
    </w:p>
    <w:p w:rsidR="004D4A30" w:rsidRPr="001F0139" w:rsidRDefault="004D4A30" w:rsidP="001F0139">
      <w:pPr>
        <w:numPr>
          <w:ilvl w:val="0"/>
          <w:numId w:val="8"/>
        </w:numPr>
        <w:tabs>
          <w:tab w:val="left" w:pos="993"/>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выполнение мероприятий по модернизации и укреплению материально-технической базы предприятий ЖКХ;</w:t>
      </w:r>
    </w:p>
    <w:p w:rsidR="004D4A30" w:rsidRPr="001F0139" w:rsidRDefault="004D4A30" w:rsidP="001F0139">
      <w:pPr>
        <w:numPr>
          <w:ilvl w:val="0"/>
          <w:numId w:val="8"/>
        </w:numPr>
        <w:tabs>
          <w:tab w:val="left" w:pos="993"/>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приобретение коммунальной техники путем участия в федеральных и областных программах;</w:t>
      </w:r>
    </w:p>
    <w:p w:rsidR="004D4A30" w:rsidRPr="001F0139" w:rsidRDefault="004D4A30" w:rsidP="001F0139">
      <w:pPr>
        <w:numPr>
          <w:ilvl w:val="0"/>
          <w:numId w:val="8"/>
        </w:numPr>
        <w:tabs>
          <w:tab w:val="left" w:pos="993"/>
        </w:tabs>
        <w:spacing w:after="0" w:line="360" w:lineRule="auto"/>
        <w:ind w:left="0"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строительство и реконструкция водоводов и водопроводных сетей;</w:t>
      </w:r>
    </w:p>
    <w:p w:rsidR="004D4A30" w:rsidRPr="001F0139" w:rsidRDefault="004D4A30" w:rsidP="001F0139">
      <w:pPr>
        <w:numPr>
          <w:ilvl w:val="0"/>
          <w:numId w:val="8"/>
        </w:numPr>
        <w:tabs>
          <w:tab w:val="left" w:pos="993"/>
        </w:tabs>
        <w:spacing w:after="0" w:line="360" w:lineRule="auto"/>
        <w:ind w:left="0" w:firstLine="709"/>
        <w:contextualSpacing/>
        <w:jc w:val="both"/>
        <w:rPr>
          <w:rFonts w:ascii="Times New Roman" w:hAnsi="Times New Roman" w:cs="Times New Roman"/>
          <w:iCs/>
          <w:sz w:val="28"/>
          <w:szCs w:val="28"/>
        </w:rPr>
      </w:pPr>
      <w:r w:rsidRPr="001F0139">
        <w:rPr>
          <w:rFonts w:ascii="Times New Roman" w:hAnsi="Times New Roman" w:cs="Times New Roman"/>
          <w:sz w:val="28"/>
          <w:szCs w:val="28"/>
        </w:rPr>
        <w:t>высокий уровень газификация жилого фонда сетевым газом.</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iCs/>
          <w:sz w:val="28"/>
          <w:szCs w:val="28"/>
        </w:rPr>
        <w:t>Слабые стороны</w:t>
      </w:r>
      <w:r w:rsidRPr="001F0139">
        <w:rPr>
          <w:rFonts w:ascii="Times New Roman" w:hAnsi="Times New Roman" w:cs="Times New Roman"/>
          <w:iCs/>
          <w:sz w:val="28"/>
          <w:szCs w:val="28"/>
        </w:rPr>
        <w:t>: н</w:t>
      </w:r>
      <w:r w:rsidRPr="001F0139">
        <w:rPr>
          <w:rFonts w:ascii="Times New Roman" w:hAnsi="Times New Roman" w:cs="Times New Roman"/>
          <w:sz w:val="28"/>
          <w:szCs w:val="28"/>
        </w:rPr>
        <w:t>аличие задолженности населения за коммунальные услуги, высокая степень износа систем водоотведения, низкий уровень обеспеченности водопроводом.</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iCs/>
          <w:sz w:val="28"/>
          <w:szCs w:val="28"/>
        </w:rPr>
        <w:t>Потенциальными возможностями</w:t>
      </w:r>
      <w:r w:rsidRPr="001F0139">
        <w:rPr>
          <w:rFonts w:ascii="Times New Roman" w:hAnsi="Times New Roman" w:cs="Times New Roman"/>
          <w:iCs/>
          <w:sz w:val="28"/>
          <w:szCs w:val="28"/>
        </w:rPr>
        <w:t xml:space="preserve"> могут быть: п</w:t>
      </w:r>
      <w:r w:rsidRPr="001F0139">
        <w:rPr>
          <w:rFonts w:ascii="Times New Roman" w:hAnsi="Times New Roman" w:cs="Times New Roman"/>
          <w:sz w:val="28"/>
          <w:szCs w:val="28"/>
        </w:rPr>
        <w:t>овышение уровня и качества жилищно-коммунальных услуг, создание предприятий на основе государственно - частного партнёрства (ГЧП) или муниципально-частного партнёрства (МЧП) в сфере ЖКХ: эксплуатация коммунальных сетей, уборка улиц, вывоз и утилизация мусора, применения в муниципальных организациях энергосберегающих технологий.</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sz w:val="28"/>
          <w:szCs w:val="28"/>
        </w:rPr>
        <w:lastRenderedPageBreak/>
        <w:t>Угрозы</w:t>
      </w:r>
      <w:r w:rsidRPr="001F0139">
        <w:rPr>
          <w:rFonts w:ascii="Times New Roman" w:hAnsi="Times New Roman" w:cs="Times New Roman"/>
          <w:sz w:val="28"/>
          <w:szCs w:val="28"/>
        </w:rPr>
        <w:t>: значительное увеличение тарифов на газ, электро- и теплоэнергию, рост вероятности и частоты возникновения аварий на объектах жилищно-коммунального хозяйства, замедление темпов реформирования ЖКХ.</w:t>
      </w:r>
    </w:p>
    <w:p w:rsidR="004D4A30" w:rsidRPr="001F0139" w:rsidRDefault="004D4A30" w:rsidP="001F0139">
      <w:pPr>
        <w:spacing w:after="0" w:line="360" w:lineRule="auto"/>
        <w:ind w:firstLine="709"/>
        <w:jc w:val="both"/>
        <w:rPr>
          <w:rFonts w:ascii="Times New Roman" w:eastAsia="Times New Roman" w:hAnsi="Times New Roman" w:cs="Times New Roman"/>
          <w:b/>
          <w:i/>
          <w:color w:val="365F91"/>
          <w:sz w:val="28"/>
          <w:szCs w:val="28"/>
          <w:lang w:eastAsia="ru-RU"/>
        </w:rPr>
      </w:pPr>
      <w:r w:rsidRPr="001F0139">
        <w:rPr>
          <w:rFonts w:ascii="Times New Roman" w:eastAsia="Times New Roman" w:hAnsi="Times New Roman" w:cs="Times New Roman"/>
          <w:b/>
          <w:i/>
          <w:color w:val="365F91"/>
          <w:sz w:val="28"/>
          <w:szCs w:val="28"/>
          <w:lang w:eastAsia="ru-RU"/>
        </w:rPr>
        <w:t>Дорожно-транспортный комплекс</w:t>
      </w:r>
    </w:p>
    <w:p w:rsidR="004D4A30" w:rsidRPr="001F0139" w:rsidRDefault="004D4A30" w:rsidP="001F0139">
      <w:pPr>
        <w:spacing w:after="0" w:line="360" w:lineRule="auto"/>
        <w:ind w:firstLine="709"/>
        <w:jc w:val="both"/>
        <w:rPr>
          <w:rFonts w:ascii="Times New Roman" w:hAnsi="Times New Roman" w:cs="Times New Roman"/>
          <w:b/>
          <w:sz w:val="28"/>
          <w:szCs w:val="28"/>
        </w:rPr>
      </w:pPr>
      <w:r w:rsidRPr="001F0139">
        <w:rPr>
          <w:rFonts w:ascii="Times New Roman" w:hAnsi="Times New Roman" w:cs="Times New Roman"/>
          <w:i/>
          <w:sz w:val="28"/>
          <w:szCs w:val="28"/>
          <w:shd w:val="clear" w:color="auto" w:fill="FFFFFF"/>
        </w:rPr>
        <w:t>К сильным сторонам</w:t>
      </w:r>
      <w:r w:rsidRPr="001F0139">
        <w:rPr>
          <w:rFonts w:ascii="Times New Roman" w:hAnsi="Times New Roman" w:cs="Times New Roman"/>
          <w:sz w:val="28"/>
          <w:szCs w:val="28"/>
          <w:shd w:val="clear" w:color="auto" w:fill="FFFFFF"/>
        </w:rPr>
        <w:t xml:space="preserve"> развития дорожно-транспортного комплекса можно отнести: </w:t>
      </w:r>
      <w:r w:rsidRPr="001F0139">
        <w:rPr>
          <w:rFonts w:ascii="Times New Roman" w:hAnsi="Times New Roman" w:cs="Times New Roman"/>
          <w:sz w:val="28"/>
          <w:szCs w:val="28"/>
        </w:rPr>
        <w:t>сдачу в эксплуатацию южного обводного мостового перехода через реку Сок, все населенные пункты района соединены с районным центром дорогами с твердым покрытием, производен капитальный ремонт автодороги местного значения с устройством твердого покрытия в сельских поселениях Байтуган, Балыкла, Ермаково и Камышла.</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Негативные моменты или </w:t>
      </w:r>
      <w:r w:rsidRPr="001F0139">
        <w:rPr>
          <w:rFonts w:ascii="Times New Roman" w:hAnsi="Times New Roman" w:cs="Times New Roman"/>
          <w:i/>
          <w:sz w:val="28"/>
          <w:szCs w:val="28"/>
        </w:rPr>
        <w:t>слабые стороны</w:t>
      </w:r>
      <w:r w:rsidRPr="001F0139">
        <w:rPr>
          <w:rFonts w:ascii="Times New Roman" w:hAnsi="Times New Roman" w:cs="Times New Roman"/>
          <w:sz w:val="28"/>
          <w:szCs w:val="28"/>
        </w:rPr>
        <w:t>: уменьшение удельного веса автодорог общего пользования с твердым покрытием в общей протяженности автодорог общего пользования.</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iCs/>
          <w:sz w:val="28"/>
          <w:szCs w:val="28"/>
        </w:rPr>
        <w:t>Потенциальные возможности</w:t>
      </w:r>
      <w:r w:rsidRPr="001F0139">
        <w:rPr>
          <w:rFonts w:ascii="Times New Roman" w:hAnsi="Times New Roman" w:cs="Times New Roman"/>
          <w:iCs/>
          <w:sz w:val="28"/>
          <w:szCs w:val="28"/>
        </w:rPr>
        <w:t xml:space="preserve"> развития дорожно-транспортного комплекса следующие: </w:t>
      </w:r>
      <w:r w:rsidRPr="001F0139">
        <w:rPr>
          <w:rFonts w:ascii="Times New Roman" w:hAnsi="Times New Roman" w:cs="Times New Roman"/>
          <w:sz w:val="28"/>
          <w:szCs w:val="28"/>
        </w:rPr>
        <w:t>ежегодное обследование автомобильных дорог местного значения, определение приоритетных участков дорог, подлежащих ремонту, участие в профильных государственных программах, эффективное использование средств муниципального дорожного фонда, эффективные контрактные взаимоотношения с подрядчиками, в том числе активное использование гарантийных механизмов.</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iCs/>
          <w:sz w:val="28"/>
          <w:szCs w:val="28"/>
        </w:rPr>
        <w:t>К внешним угрозам</w:t>
      </w:r>
      <w:r w:rsidRPr="001F0139">
        <w:rPr>
          <w:rFonts w:ascii="Times New Roman" w:hAnsi="Times New Roman" w:cs="Times New Roman"/>
          <w:iCs/>
          <w:sz w:val="28"/>
          <w:szCs w:val="28"/>
        </w:rPr>
        <w:t xml:space="preserve"> можно отнести </w:t>
      </w:r>
      <w:r w:rsidRPr="001F0139">
        <w:rPr>
          <w:rFonts w:ascii="Times New Roman" w:hAnsi="Times New Roman" w:cs="Times New Roman"/>
          <w:sz w:val="28"/>
          <w:szCs w:val="28"/>
        </w:rPr>
        <w:t>рост тарифов на транспортные перевозки.</w:t>
      </w:r>
    </w:p>
    <w:p w:rsidR="004D4A30" w:rsidRPr="001F0139" w:rsidRDefault="004D4A30" w:rsidP="001F0139">
      <w:pPr>
        <w:spacing w:after="0" w:line="360" w:lineRule="auto"/>
        <w:ind w:firstLine="709"/>
        <w:jc w:val="both"/>
        <w:rPr>
          <w:rFonts w:ascii="Times New Roman" w:eastAsia="Times New Roman" w:hAnsi="Times New Roman" w:cs="Times New Roman"/>
          <w:b/>
          <w:i/>
          <w:color w:val="365F91"/>
          <w:sz w:val="28"/>
          <w:szCs w:val="28"/>
          <w:lang w:eastAsia="ru-RU"/>
        </w:rPr>
      </w:pPr>
      <w:r w:rsidRPr="001F0139">
        <w:rPr>
          <w:rFonts w:ascii="Times New Roman" w:eastAsia="Times New Roman" w:hAnsi="Times New Roman" w:cs="Times New Roman"/>
          <w:b/>
          <w:i/>
          <w:color w:val="365F91"/>
          <w:sz w:val="28"/>
          <w:szCs w:val="28"/>
          <w:lang w:eastAsia="ru-RU"/>
        </w:rPr>
        <w:t xml:space="preserve">Информационно-коммуникационная инфраструктура </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sz w:val="28"/>
          <w:szCs w:val="28"/>
        </w:rPr>
        <w:t>Сильными сторонами</w:t>
      </w:r>
      <w:r w:rsidRPr="001F0139">
        <w:rPr>
          <w:rFonts w:ascii="Times New Roman" w:hAnsi="Times New Roman" w:cs="Times New Roman"/>
          <w:sz w:val="28"/>
          <w:szCs w:val="28"/>
        </w:rPr>
        <w:t xml:space="preserve"> являются: охват населения телевизионным вещанием составляет на 100 %, все АТС района являются цифровыми.</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sz w:val="28"/>
          <w:szCs w:val="28"/>
        </w:rPr>
        <w:t>Слабые стороны</w:t>
      </w:r>
      <w:r w:rsidRPr="001F0139">
        <w:rPr>
          <w:rFonts w:ascii="Times New Roman" w:hAnsi="Times New Roman" w:cs="Times New Roman"/>
          <w:sz w:val="28"/>
          <w:szCs w:val="28"/>
        </w:rPr>
        <w:t>: недостаточное количество пунктов коллективного доступа к сети Интернет; отсутствие банкоматов; низкое качество мобильной и Интернет-связи.</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iCs/>
          <w:sz w:val="28"/>
          <w:szCs w:val="28"/>
        </w:rPr>
        <w:lastRenderedPageBreak/>
        <w:t>Потенциальные возможности</w:t>
      </w:r>
      <w:r w:rsidRPr="001F0139">
        <w:rPr>
          <w:rFonts w:ascii="Times New Roman" w:hAnsi="Times New Roman" w:cs="Times New Roman"/>
          <w:iCs/>
          <w:sz w:val="28"/>
          <w:szCs w:val="28"/>
        </w:rPr>
        <w:t xml:space="preserve">: </w:t>
      </w:r>
      <w:r w:rsidRPr="001F0139">
        <w:rPr>
          <w:rFonts w:ascii="Times New Roman" w:hAnsi="Times New Roman" w:cs="Times New Roman"/>
          <w:sz w:val="28"/>
          <w:szCs w:val="28"/>
        </w:rPr>
        <w:t>динамичное развитие технологий связи и информационно-коммуникационных технологий, внедрение цифровой экономики.</w:t>
      </w:r>
    </w:p>
    <w:p w:rsidR="004D4A30" w:rsidRPr="001F0139" w:rsidRDefault="004D4A3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
          <w:iCs/>
          <w:sz w:val="28"/>
          <w:szCs w:val="28"/>
        </w:rPr>
        <w:t>К внешним угрозам</w:t>
      </w:r>
      <w:r w:rsidRPr="001F0139">
        <w:rPr>
          <w:rFonts w:ascii="Times New Roman" w:hAnsi="Times New Roman" w:cs="Times New Roman"/>
          <w:iCs/>
          <w:sz w:val="28"/>
          <w:szCs w:val="28"/>
        </w:rPr>
        <w:t xml:space="preserve"> можно отнести: </w:t>
      </w:r>
      <w:r w:rsidRPr="001F0139">
        <w:rPr>
          <w:rFonts w:ascii="Times New Roman" w:hAnsi="Times New Roman" w:cs="Times New Roman"/>
          <w:sz w:val="28"/>
          <w:szCs w:val="28"/>
        </w:rPr>
        <w:t>рост тарифов на услуги связи, возможные хакерские атаки, слабая организация и технология защиты информации.</w:t>
      </w:r>
    </w:p>
    <w:p w:rsidR="002760F1" w:rsidRDefault="002760F1" w:rsidP="001F0139">
      <w:pPr>
        <w:pStyle w:val="10"/>
        <w:keepNext/>
        <w:keepLines/>
        <w:shd w:val="clear" w:color="auto" w:fill="auto"/>
        <w:tabs>
          <w:tab w:val="left" w:pos="922"/>
        </w:tabs>
        <w:spacing w:after="0" w:line="326" w:lineRule="exact"/>
        <w:ind w:firstLine="0"/>
        <w:jc w:val="left"/>
        <w:rPr>
          <w:rFonts w:eastAsiaTheme="minorHAnsi"/>
          <w:bCs w:val="0"/>
          <w:color w:val="365F91"/>
        </w:rPr>
      </w:pPr>
      <w:bookmarkStart w:id="15" w:name="bookmark23"/>
    </w:p>
    <w:p w:rsidR="00DE1D1C" w:rsidRDefault="00DE1D1C" w:rsidP="001F0139">
      <w:pPr>
        <w:pStyle w:val="10"/>
        <w:keepNext/>
        <w:keepLines/>
        <w:shd w:val="clear" w:color="auto" w:fill="auto"/>
        <w:tabs>
          <w:tab w:val="left" w:pos="922"/>
        </w:tabs>
        <w:spacing w:after="0" w:line="326" w:lineRule="exact"/>
        <w:ind w:firstLine="0"/>
        <w:jc w:val="left"/>
        <w:rPr>
          <w:rFonts w:eastAsiaTheme="minorHAnsi"/>
          <w:bCs w:val="0"/>
          <w:color w:val="365F91"/>
        </w:rPr>
      </w:pPr>
      <w:r w:rsidRPr="001F0139">
        <w:rPr>
          <w:rFonts w:eastAsiaTheme="minorHAnsi"/>
          <w:bCs w:val="0"/>
          <w:color w:val="365F91"/>
        </w:rPr>
        <w:t xml:space="preserve">5.Приоритеты социально-экономического развития </w:t>
      </w:r>
      <w:r w:rsidR="005B62B2" w:rsidRPr="001F0139">
        <w:rPr>
          <w:rFonts w:eastAsiaTheme="minorHAnsi"/>
          <w:bCs w:val="0"/>
          <w:color w:val="365F91"/>
        </w:rPr>
        <w:t xml:space="preserve">и система целей </w:t>
      </w:r>
      <w:r w:rsidR="002760F1" w:rsidRPr="001F0139">
        <w:rPr>
          <w:rFonts w:eastAsiaTheme="minorHAnsi"/>
          <w:bCs w:val="0"/>
          <w:color w:val="365F91"/>
        </w:rPr>
        <w:t xml:space="preserve">муниципального района </w:t>
      </w:r>
      <w:r w:rsidRPr="001F0139">
        <w:rPr>
          <w:rFonts w:eastAsiaTheme="minorHAnsi"/>
          <w:bCs w:val="0"/>
          <w:color w:val="365F91"/>
        </w:rPr>
        <w:t>Камышлинск</w:t>
      </w:r>
      <w:r w:rsidR="002760F1">
        <w:rPr>
          <w:rFonts w:eastAsiaTheme="minorHAnsi"/>
          <w:bCs w:val="0"/>
          <w:color w:val="365F91"/>
        </w:rPr>
        <w:t>ий</w:t>
      </w:r>
      <w:r w:rsidRPr="001F0139">
        <w:rPr>
          <w:rFonts w:eastAsiaTheme="minorHAnsi"/>
          <w:bCs w:val="0"/>
          <w:color w:val="365F91"/>
        </w:rPr>
        <w:t xml:space="preserve"> </w:t>
      </w:r>
      <w:bookmarkEnd w:id="15"/>
    </w:p>
    <w:p w:rsidR="002760F1" w:rsidRPr="001F0139" w:rsidRDefault="002760F1" w:rsidP="001F0139">
      <w:pPr>
        <w:pStyle w:val="10"/>
        <w:keepNext/>
        <w:keepLines/>
        <w:shd w:val="clear" w:color="auto" w:fill="auto"/>
        <w:tabs>
          <w:tab w:val="left" w:pos="922"/>
        </w:tabs>
        <w:spacing w:after="0" w:line="326" w:lineRule="exact"/>
        <w:ind w:firstLine="0"/>
        <w:jc w:val="left"/>
        <w:rPr>
          <w:rFonts w:eastAsiaTheme="minorHAnsi"/>
          <w:bCs w:val="0"/>
          <w:color w:val="365F91"/>
        </w:rPr>
      </w:pP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Главной ценностью Стратегии Камышлинского муниципального района является Человек - неповторимая свободная личность. Высшей целью стратегии является создание благоприятных условий для его развития и совершенствования. Мерой успешности развития Камышлинского муниципального района является качество жизни населения, количество и качество накопленного и успешно функционирующего человеческого капитала.</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Стратегия развития Камышлинского муниципального района включает три приоритетных направления:</w:t>
      </w:r>
    </w:p>
    <w:p w:rsidR="00DE1D1C" w:rsidRPr="001F0139" w:rsidRDefault="00DE1D1C" w:rsidP="001F0139">
      <w:pPr>
        <w:pStyle w:val="a3"/>
        <w:numPr>
          <w:ilvl w:val="0"/>
          <w:numId w:val="15"/>
        </w:numPr>
        <w:spacing w:after="0" w:line="360" w:lineRule="auto"/>
        <w:ind w:left="0"/>
        <w:jc w:val="both"/>
        <w:rPr>
          <w:rFonts w:ascii="Times New Roman" w:hAnsi="Times New Roman" w:cs="Times New Roman"/>
          <w:b/>
          <w:sz w:val="28"/>
          <w:szCs w:val="28"/>
        </w:rPr>
      </w:pPr>
      <w:r w:rsidRPr="001F0139">
        <w:rPr>
          <w:rFonts w:ascii="Times New Roman" w:hAnsi="Times New Roman" w:cs="Times New Roman"/>
          <w:b/>
          <w:sz w:val="28"/>
          <w:szCs w:val="28"/>
        </w:rPr>
        <w:t xml:space="preserve">Формирование, совершенствование и накопление человеческого капитала; </w:t>
      </w:r>
    </w:p>
    <w:p w:rsidR="00DE1D1C" w:rsidRPr="001F0139" w:rsidRDefault="00DE1D1C" w:rsidP="001F0139">
      <w:pPr>
        <w:pStyle w:val="a3"/>
        <w:numPr>
          <w:ilvl w:val="0"/>
          <w:numId w:val="15"/>
        </w:numPr>
        <w:spacing w:after="0" w:line="360" w:lineRule="auto"/>
        <w:ind w:left="0"/>
        <w:jc w:val="both"/>
        <w:rPr>
          <w:rFonts w:ascii="Times New Roman" w:hAnsi="Times New Roman" w:cs="Times New Roman"/>
          <w:b/>
          <w:sz w:val="28"/>
          <w:szCs w:val="28"/>
        </w:rPr>
      </w:pPr>
      <w:r w:rsidRPr="001F0139">
        <w:rPr>
          <w:rFonts w:ascii="Times New Roman" w:hAnsi="Times New Roman" w:cs="Times New Roman"/>
          <w:b/>
          <w:sz w:val="28"/>
          <w:szCs w:val="28"/>
        </w:rPr>
        <w:t>Создание комфортного пространства района</w:t>
      </w:r>
      <w:r w:rsidR="002760F1">
        <w:rPr>
          <w:rFonts w:ascii="Times New Roman" w:hAnsi="Times New Roman" w:cs="Times New Roman"/>
          <w:b/>
          <w:sz w:val="28"/>
          <w:szCs w:val="28"/>
        </w:rPr>
        <w:t xml:space="preserve"> </w:t>
      </w:r>
      <w:r w:rsidRPr="001F0139">
        <w:rPr>
          <w:rFonts w:ascii="Times New Roman" w:hAnsi="Times New Roman" w:cs="Times New Roman"/>
          <w:b/>
          <w:sz w:val="28"/>
          <w:szCs w:val="28"/>
        </w:rPr>
        <w:t xml:space="preserve">для гармоничного развития человеческого капитала; </w:t>
      </w:r>
    </w:p>
    <w:p w:rsidR="00DE1D1C" w:rsidRPr="001F0139" w:rsidRDefault="00DE1D1C" w:rsidP="001F0139">
      <w:pPr>
        <w:pStyle w:val="a3"/>
        <w:numPr>
          <w:ilvl w:val="0"/>
          <w:numId w:val="15"/>
        </w:numPr>
        <w:spacing w:after="0" w:line="360" w:lineRule="auto"/>
        <w:ind w:left="0"/>
        <w:jc w:val="both"/>
        <w:rPr>
          <w:rFonts w:ascii="Times New Roman" w:hAnsi="Times New Roman" w:cs="Times New Roman"/>
          <w:b/>
          <w:sz w:val="28"/>
          <w:szCs w:val="28"/>
        </w:rPr>
      </w:pPr>
      <w:r w:rsidRPr="001F0139">
        <w:rPr>
          <w:rFonts w:ascii="Times New Roman" w:hAnsi="Times New Roman" w:cs="Times New Roman"/>
          <w:b/>
          <w:sz w:val="28"/>
          <w:szCs w:val="28"/>
        </w:rPr>
        <w:t>Создание инновационной экономики, в которой человеческий капитал востребован, успешно функционирует и развивается.</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Человеческий капитал представляет собой способности, знания, навыки и умения, воплощенные в людях, которые позволяют им создавать социальное и экономическое благосостояние. Стратегия накопления человеческого капитала в Камышлинском муниципальном районе включает стратегию формирования человеческого капитала (демографическое </w:t>
      </w:r>
      <w:r w:rsidRPr="001F0139">
        <w:rPr>
          <w:rFonts w:ascii="Times New Roman" w:hAnsi="Times New Roman" w:cs="Times New Roman"/>
          <w:sz w:val="28"/>
          <w:szCs w:val="28"/>
        </w:rPr>
        <w:lastRenderedPageBreak/>
        <w:t>развитие), образование, молодежную политику, систему здравоохранения, культуру, рынок труда, поддержку занятости и социальную защиту.</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Накопленный человеческий капитал обеспечивает конкурентоспособность Камышлинского муниципального района, что достигается выполнением следующих задач:</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Ускорение темпов роста индивидуальных возможностей. Человек становится субъектом глобального мира, является саморазвивающимся мобильным активом, что способствует росту компаний, функционирующих вокруг таланта конкретного человека.</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Повышение качества образования, обусловленное изменением условий труда и возможностями широкого использования информационно-коммуникационных технологий.</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Возрастание роли религиозных ценностей и институтов.</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Рост производительности труда за счет увеличения его технологической вооруженности и развития методов и технологий повышения эффективности.</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Все рассматриваемые направления наделены локальными целями развития, но находятся во взаимосвязи и совместно работают на основную цель Стратегии.</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Набор характеристик, наличие которых способствует успеху:</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образованное, предприимчивое, активное, талантливое, креативное население;</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система образования мирового уровня;</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система управления миграционными потоками, привлечение и удержание талантов;</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низкие барьеры для карьерного роста, предпринимательства, инвестиций;</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диверсификация экономики (высокая доля малого бизнеса, наличие отраслей - драйверов роста);</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комфортные условия для жизни, здоровая окружающая среда, безопасность;</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открытость (активные международные и межрегиональные связи);</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идентичность, узнаваемость, известность;</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эффективная система управления будущим.</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Для того чтобы укреплять свои позиции Камышлинскому муниципальному району стратегически важно совершенствоваться в следующих направлениях:</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части накопления человеческого капитала и общественных институтов</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массовое качественное образование, включая иностранные языки;</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управление талантами;</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поддержка вертикальной и горизонтальной мобильности по способностям и компетентности;</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рост уровня доверия в обществе;</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ценности здорового образа жизни и эффективное здравоохранение;</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поликультурность;</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равенство конфессий;</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части пространства - устойчивое природосообразное развитие;</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резервирование ресурсов для будущего;</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транспортная доступность всех типов поселений внутри района и надежные связи с соседними муниципальными районами;</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удобная безопасная </w:t>
      </w:r>
      <w:r w:rsidR="001F0139">
        <w:rPr>
          <w:rFonts w:ascii="Times New Roman" w:hAnsi="Times New Roman" w:cs="Times New Roman"/>
          <w:sz w:val="28"/>
          <w:szCs w:val="28"/>
        </w:rPr>
        <w:t>район</w:t>
      </w:r>
      <w:r w:rsidRPr="001F0139">
        <w:rPr>
          <w:rFonts w:ascii="Times New Roman" w:hAnsi="Times New Roman" w:cs="Times New Roman"/>
          <w:sz w:val="28"/>
          <w:szCs w:val="28"/>
        </w:rPr>
        <w:t>ская среда с общественными пространствами, способствующими коммуникации и доверию;</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сохранение сельской местности;</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части экономических отношений и управления</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рост уровня доверия как фактор экономического развития: развитие кластерных отношений, коллективного управления, обучение сотруенции (сотрудничеству конкурентов);</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открытая экономика, глобализация как стимул конкурентоспособности;</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расширение и выравнивание доступа к ресурсам;</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полноценная экосистема инноваций;</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взаимовыгодное сотрудничество с федеральным центром;</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эффективное участие государства в инфраструктурных проектах;</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системное решение вопросов, связанных с коррупцией, значительное сокращение теневой экономики;</w:t>
      </w:r>
    </w:p>
    <w:p w:rsidR="00DE1D1C" w:rsidRPr="001F0139" w:rsidRDefault="00DE1D1C"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снижение централизации государственного управления, делегирование полномочий в интересах повышения скорости принятия решений при внедрении принципов проектного управления, управления "на результат" и государственно-частного партнерства.</w:t>
      </w:r>
    </w:p>
    <w:p w:rsidR="002760F1" w:rsidRDefault="002760F1">
      <w:pP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br w:type="page"/>
      </w:r>
    </w:p>
    <w:p w:rsidR="005B62B2" w:rsidRPr="001F0139" w:rsidRDefault="005B62B2"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lastRenderedPageBreak/>
        <w:t>6.Формирование, совершенствование и накопление человеческого капитала</w:t>
      </w:r>
    </w:p>
    <w:p w:rsidR="00E74438" w:rsidRPr="001F0139" w:rsidRDefault="00E7443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6.1. Стратегическая диагностика</w:t>
      </w:r>
    </w:p>
    <w:p w:rsidR="00FA0047" w:rsidRPr="001F0139" w:rsidRDefault="00FA0047" w:rsidP="001F0139">
      <w:pPr>
        <w:spacing w:after="0" w:line="360" w:lineRule="auto"/>
        <w:ind w:firstLine="709"/>
        <w:jc w:val="both"/>
        <w:rPr>
          <w:rFonts w:ascii="Times New Roman" w:hAnsi="Times New Roman" w:cs="Times New Roman"/>
          <w:sz w:val="28"/>
          <w:szCs w:val="28"/>
        </w:rPr>
      </w:pPr>
    </w:p>
    <w:p w:rsidR="00FA0047" w:rsidRPr="001F0139" w:rsidRDefault="00FA0047" w:rsidP="001F0139">
      <w:pPr>
        <w:spacing w:after="0" w:line="360" w:lineRule="auto"/>
        <w:contextualSpacing/>
        <w:jc w:val="both"/>
        <w:outlineLvl w:val="2"/>
        <w:rPr>
          <w:rFonts w:ascii="Times New Roman" w:hAnsi="Times New Roman" w:cs="Times New Roman"/>
          <w:b/>
          <w:color w:val="365F91"/>
          <w:sz w:val="28"/>
          <w:szCs w:val="28"/>
        </w:rPr>
      </w:pPr>
      <w:bookmarkStart w:id="16" w:name="_Toc520894830"/>
      <w:r w:rsidRPr="001F0139">
        <w:rPr>
          <w:rFonts w:ascii="Times New Roman" w:hAnsi="Times New Roman" w:cs="Times New Roman"/>
          <w:b/>
          <w:color w:val="365F91"/>
          <w:sz w:val="28"/>
          <w:szCs w:val="28"/>
        </w:rPr>
        <w:t>Демографическое развитие, занятость и уровень жизни населения</w:t>
      </w:r>
      <w:bookmarkEnd w:id="16"/>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b/>
          <w:i/>
          <w:color w:val="365F91"/>
          <w:sz w:val="28"/>
          <w:szCs w:val="28"/>
        </w:rPr>
        <w:t xml:space="preserve">Демография. </w:t>
      </w:r>
      <w:r w:rsidRPr="001F0139">
        <w:rPr>
          <w:rFonts w:ascii="Times New Roman" w:hAnsi="Times New Roman" w:cs="Times New Roman"/>
          <w:sz w:val="28"/>
          <w:szCs w:val="28"/>
        </w:rPr>
        <w:t>Общая численность населения Камышлинского района по состоянию на начало 2017 года составляла 10,8 тыс. человек (26 место среди 27 районов Самарской области). Всё население района является сельским.</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 Камышлинском районе наблюдается сложная демографическая ситуация. Район стабильно характеризуется как естественной, так и миграционной убылью населения. За последние 5 лет общая численность населения снизилась на 327 человек.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По уровню рождаемости в 2016 году (9,9 родившихся на 1000 человек населения) район занял 22 место среди муниципальных районов Самарской области. При этом за три последних года средний темп снижения рождаемости составлял около 10,7% ежегодно. </w:t>
      </w:r>
    </w:p>
    <w:p w:rsidR="00FA0047" w:rsidRPr="001F0139" w:rsidRDefault="00A95D87" w:rsidP="001F0139">
      <w:pPr>
        <w:spacing w:after="0" w:line="240" w:lineRule="auto"/>
        <w:jc w:val="both"/>
        <w:rPr>
          <w:rFonts w:ascii="Times New Roman" w:hAnsi="Times New Roman" w:cs="Times New Roman"/>
          <w:sz w:val="28"/>
          <w:szCs w:val="28"/>
        </w:rPr>
      </w:pPr>
      <w:r>
        <w:rPr>
          <w:rFonts w:ascii="Times New Roman" w:hAnsi="Times New Roman" w:cs="Times New Roman"/>
          <w:noProof/>
        </w:rPr>
        <w:pict>
          <v:rect id="_x0000_s1047" style="position:absolute;left:0;text-align:left;margin-left:217.8pt;margin-top:1.3pt;width:241.95pt;height:42.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" fillcolor="#365f91" strokecolor="#365f91">
            <v:textbox>
              <w:txbxContent>
                <w:p w:rsidR="000B7CD7" w:rsidRPr="00047D4E" w:rsidRDefault="000B7CD7" w:rsidP="00FA0047">
                  <w:pPr>
                    <w:spacing w:after="0" w:line="240" w:lineRule="auto"/>
                    <w:jc w:val="center"/>
                    <w:rPr>
                      <w:sz w:val="20"/>
                      <w:szCs w:val="20"/>
                    </w:rPr>
                  </w:pPr>
                  <w:r w:rsidRPr="00047D4E">
                    <w:rPr>
                      <w:rFonts w:ascii="Times New Roman" w:hAnsi="Times New Roman"/>
                      <w:b/>
                      <w:bCs/>
                      <w:color w:val="FFFFFF"/>
                      <w:sz w:val="20"/>
                      <w:szCs w:val="20"/>
                    </w:rPr>
                    <w:t>Камышлинский район занимает среднюю позицию по числу умерших среди сельских районов Самарской области</w:t>
                  </w:r>
                </w:p>
              </w:txbxContent>
            </v:textbox>
          </v:rect>
        </w:pict>
      </w:r>
      <w:r>
        <w:rPr>
          <w:rFonts w:ascii="Times New Roman" w:hAnsi="Times New Roman" w:cs="Times New Roman"/>
          <w:noProof/>
        </w:rPr>
        <w:pict>
          <v:rect id="_x0000_s1034" style="position:absolute;left:0;text-align:left;margin-left:1.1pt;margin-top:1.4pt;width:205.7pt;height:4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" fillcolor="#365f91" strokecolor="#365f91">
            <v:textbox>
              <w:txbxContent>
                <w:p w:rsidR="000B7CD7" w:rsidRPr="00BC1922" w:rsidRDefault="000B7CD7" w:rsidP="00FA0047">
                  <w:pPr>
                    <w:spacing w:after="0" w:line="240" w:lineRule="auto"/>
                    <w:jc w:val="center"/>
                  </w:pPr>
                  <w:r>
                    <w:rPr>
                      <w:rFonts w:ascii="Times New Roman" w:hAnsi="Times New Roman"/>
                      <w:b/>
                      <w:bCs/>
                      <w:color w:val="FFFFFF"/>
                      <w:sz w:val="20"/>
                      <w:szCs w:val="20"/>
                    </w:rPr>
                    <w:t>Камышлинский район занимает 22 место по числу родившихся в 2016 году</w:t>
                  </w:r>
                </w:p>
              </w:txbxContent>
            </v:textbox>
          </v:rect>
        </w:pict>
      </w:r>
      <w:r>
        <w:rPr>
          <w:rFonts w:ascii="Times New Roman" w:hAnsi="Times New Roman" w:cs="Times New Roman"/>
          <w:noProof/>
        </w:rPr>
        <w:pict>
          <v:line id="Прямая соединительная линия 7" o:spid="_x0000_s1033" style="position:absolute;left:0;text-align:left;z-index:251669504;visibility:visible;mso-width-relative:margin" from="44.05pt,193.15pt" to="206.8pt,1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">
            <v:stroke dashstyle="3 1"/>
          </v:line>
        </w:pict>
      </w:r>
      <w:r>
        <w:rPr>
          <w:rFonts w:ascii="Times New Roman" w:hAnsi="Times New Roman" w:cs="Times New Roman"/>
          <w:noProof/>
        </w:rPr>
        <w:pict>
          <v:line id="_x0000_s1046" style="position:absolute;left:0;text-align:left;z-index:251682816;visibility:visible;mso-width-relative:margin;mso-height-relative:margin" from="246.8pt,142.75pt" to="413.5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">
            <v:stroke dashstyle="3 1"/>
          </v:line>
        </w:pict>
      </w:r>
      <w:r>
        <w:rPr>
          <w:rFonts w:ascii="Times New Roman" w:hAnsi="Times New Roman" w:cs="Times New Roman"/>
          <w:noProof/>
        </w:rPr>
        <w:pict>
          <v:line id="Прямая соединительная линия 3" o:spid="_x0000_s1032" style="position:absolute;left:0;text-align:left;flip:y;z-index:251668480;visibility:visible;mso-width-relative:margin;mso-height-relative:margin" from="58.95pt,51.4pt" to="58.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">
            <v:stroke dashstyle="3 1"/>
          </v:line>
        </w:pict>
      </w:r>
      <w:r w:rsidR="00FA0047" w:rsidRPr="001F0139">
        <w:rPr>
          <w:rFonts w:ascii="Times New Roman" w:hAnsi="Times New Roman" w:cs="Times New Roman"/>
          <w:b/>
          <w:noProof/>
          <w:lang w:eastAsia="ru-RU"/>
        </w:rPr>
        <w:drawing>
          <wp:inline distT="0" distB="0" distL="0" distR="0">
            <wp:extent cx="2629561" cy="3477583"/>
            <wp:effectExtent l="6663" t="6665" r="3471" b="8887"/>
            <wp:docPr id="198"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A0047" w:rsidRPr="001F0139">
        <w:rPr>
          <w:rFonts w:ascii="Times New Roman" w:hAnsi="Times New Roman" w:cs="Times New Roman"/>
          <w:noProof/>
          <w:lang w:eastAsia="ru-RU"/>
        </w:rPr>
        <w:t xml:space="preserve"> </w:t>
      </w:r>
      <w:r w:rsidR="00FA0047" w:rsidRPr="001F0139">
        <w:rPr>
          <w:rFonts w:ascii="Times New Roman" w:hAnsi="Times New Roman" w:cs="Times New Roman"/>
          <w:noProof/>
          <w:lang w:eastAsia="ru-RU"/>
        </w:rPr>
        <w:drawing>
          <wp:inline distT="0" distB="0" distL="0" distR="0">
            <wp:extent cx="3060869" cy="3477756"/>
            <wp:effectExtent l="7112" t="6835" r="4149" b="8544"/>
            <wp:docPr id="5"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A0047" w:rsidRPr="001F0139" w:rsidRDefault="00FA0047" w:rsidP="001F0139">
      <w:pPr>
        <w:spacing w:after="0" w:line="240" w:lineRule="auto"/>
        <w:jc w:val="center"/>
        <w:rPr>
          <w:rFonts w:ascii="Times New Roman" w:hAnsi="Times New Roman" w:cs="Times New Roman"/>
        </w:rPr>
      </w:pPr>
      <w:r w:rsidRPr="001F0139">
        <w:rPr>
          <w:rFonts w:ascii="Times New Roman" w:hAnsi="Times New Roman" w:cs="Times New Roman"/>
          <w:sz w:val="20"/>
          <w:szCs w:val="20"/>
        </w:rPr>
        <w:t>Источник: Муниципальные районы Самарской области. Статистический сборник</w:t>
      </w:r>
    </w:p>
    <w:p w:rsidR="00FA0047" w:rsidRPr="001F0139" w:rsidRDefault="00FA0047" w:rsidP="001F0139">
      <w:pPr>
        <w:spacing w:after="0" w:line="240" w:lineRule="auto"/>
        <w:jc w:val="center"/>
        <w:rPr>
          <w:rFonts w:ascii="Times New Roman" w:hAnsi="Times New Roman" w:cs="Times New Roman"/>
          <w:noProof/>
          <w:lang w:eastAsia="ru-RU"/>
        </w:rPr>
      </w:pPr>
      <w:r w:rsidRPr="001F0139">
        <w:rPr>
          <w:rFonts w:ascii="Times New Roman" w:eastAsia="Times New Roman" w:hAnsi="Times New Roman" w:cs="Times New Roman"/>
          <w:b/>
          <w:sz w:val="28"/>
          <w:szCs w:val="28"/>
        </w:rPr>
        <w:lastRenderedPageBreak/>
        <w:t>Рисунок 1.4.1 – Число родившихся и умерших (на 1000 чел. населения) в 2016 году и среднегодовой темп прироста показателя в 2014-2016 годах по муниципальным районам Самарской области</w:t>
      </w:r>
    </w:p>
    <w:p w:rsidR="00FA0047" w:rsidRPr="001F0139" w:rsidRDefault="00FA0047" w:rsidP="001F0139">
      <w:pPr>
        <w:spacing w:after="0" w:line="240" w:lineRule="auto"/>
        <w:jc w:val="both"/>
        <w:rPr>
          <w:rFonts w:ascii="Times New Roman" w:hAnsi="Times New Roman" w:cs="Times New Roman"/>
          <w:sz w:val="28"/>
          <w:szCs w:val="28"/>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Коэффициент смертности в 2016 году составил 15,6 умерших на 1000 человек населения, что значительно выше уровня рождаемости. Вместе с тем за последние три года уровень смертности несколько уменьшился – в среднем на 2% ежегодно.</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По коэффициенту смертности район занимает среднюю позицию среди сельских районов области, что в значительной мере может объясняться сравнительно небольшой долей населения старше трудоспособного возраста (24,4%, 3 место, начиная с наименьшего значения). По удельному весу населения младше трудоспособного возраста район занимает 1 место среди 27 районов области, в трудоспособном возрасте – 15 место (начиная с наибольшего значения, рис. 1.4.2).</w:t>
      </w:r>
    </w:p>
    <w:p w:rsidR="00FA0047" w:rsidRPr="001F0139" w:rsidRDefault="00A95D87" w:rsidP="001F0139">
      <w:pPr>
        <w:spacing w:after="0" w:line="240" w:lineRule="auto"/>
        <w:ind w:firstLine="709"/>
        <w:jc w:val="center"/>
        <w:rPr>
          <w:rFonts w:ascii="Times New Roman" w:hAnsi="Times New Roman" w:cs="Times New Roman"/>
          <w:sz w:val="28"/>
          <w:szCs w:val="28"/>
        </w:rPr>
      </w:pPr>
      <w:r>
        <w:rPr>
          <w:rFonts w:ascii="Times New Roman" w:hAnsi="Times New Roman" w:cs="Times New Roman"/>
          <w:noProof/>
        </w:rPr>
        <w:pict>
          <v:rect id="Прямоугольник 2" o:spid="_x0000_s1035" style="position:absolute;left:0;text-align:left;margin-left:94.15pt;margin-top:27.6pt;width:310.65pt;height:11.55pt;z-index:2516715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" filled="f" strokecolor="red" strokeweight="2pt">
            <v:stroke dashstyle="3 1"/>
          </v:rect>
        </w:pict>
      </w:r>
      <w:r>
        <w:rPr>
          <w:rFonts w:ascii="Times New Roman" w:hAnsi="Times New Roman" w:cs="Times New Roman"/>
          <w:noProof/>
        </w:rPr>
        <w:pict>
          <v:rect id="_x0000_s1036" style="position:absolute;left:0;text-align:left;margin-left:94.15pt;margin-top:-6.6pt;width:316.15pt;height:29.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" fillcolor="#365f91" strokecolor="#365f91">
            <v:textbox>
              <w:txbxContent>
                <w:p w:rsidR="000B7CD7" w:rsidRPr="009755B7" w:rsidRDefault="000B7CD7" w:rsidP="00FA0047">
                  <w:pPr>
                    <w:spacing w:after="0" w:line="240" w:lineRule="auto"/>
                    <w:jc w:val="center"/>
                    <w:rPr>
                      <w:sz w:val="20"/>
                      <w:szCs w:val="20"/>
                    </w:rPr>
                  </w:pPr>
                  <w:r w:rsidRPr="009755B7">
                    <w:rPr>
                      <w:rFonts w:ascii="Times New Roman" w:hAnsi="Times New Roman"/>
                      <w:b/>
                      <w:bCs/>
                      <w:color w:val="FFFFFF"/>
                      <w:sz w:val="20"/>
                      <w:szCs w:val="20"/>
                    </w:rPr>
                    <w:t>Камышлинский район занимает 1 место по удельному весу населения младше трудоспособного возраста</w:t>
                  </w:r>
                </w:p>
              </w:txbxContent>
            </v:textbox>
          </v:rect>
        </w:pict>
      </w:r>
      <w:r w:rsidR="00FA0047" w:rsidRPr="001F0139">
        <w:rPr>
          <w:rFonts w:ascii="Times New Roman" w:hAnsi="Times New Roman" w:cs="Times New Roman"/>
          <w:noProof/>
          <w:lang w:eastAsia="ru-RU"/>
        </w:rPr>
        <w:drawing>
          <wp:inline distT="0" distB="0" distL="0" distR="0">
            <wp:extent cx="3985516" cy="3498471"/>
            <wp:effectExtent l="6095" t="6095" r="7619" b="6984"/>
            <wp:docPr id="6"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A0047" w:rsidRPr="001F0139" w:rsidRDefault="00FA0047" w:rsidP="001F0139">
      <w:pPr>
        <w:spacing w:after="0" w:line="240" w:lineRule="auto"/>
        <w:ind w:firstLine="426"/>
        <w:jc w:val="both"/>
        <w:rPr>
          <w:rFonts w:ascii="Times New Roman" w:hAnsi="Times New Roman" w:cs="Times New Roman"/>
          <w:noProof/>
          <w:sz w:val="20"/>
          <w:szCs w:val="20"/>
          <w:lang w:eastAsia="ru-RU"/>
        </w:rPr>
      </w:pPr>
      <w:r w:rsidRPr="001F0139">
        <w:rPr>
          <w:rFonts w:ascii="Times New Roman" w:hAnsi="Times New Roman" w:cs="Times New Roman"/>
          <w:sz w:val="20"/>
          <w:szCs w:val="20"/>
        </w:rPr>
        <w:t>Источник: Муниципальные районы Самарской области. Статистический сборник. – Самара, 2017.</w:t>
      </w:r>
    </w:p>
    <w:p w:rsidR="00FA0047" w:rsidRPr="001F0139" w:rsidRDefault="00FA0047" w:rsidP="001F0139">
      <w:pPr>
        <w:spacing w:after="0" w:line="240" w:lineRule="auto"/>
        <w:ind w:firstLine="709"/>
        <w:jc w:val="center"/>
        <w:rPr>
          <w:rFonts w:ascii="Times New Roman" w:eastAsia="Times New Roman" w:hAnsi="Times New Roman" w:cs="Times New Roman"/>
          <w:b/>
          <w:sz w:val="28"/>
          <w:szCs w:val="28"/>
        </w:rPr>
      </w:pPr>
      <w:r w:rsidRPr="001F0139">
        <w:rPr>
          <w:rFonts w:ascii="Times New Roman" w:eastAsia="Times New Roman" w:hAnsi="Times New Roman" w:cs="Times New Roman"/>
          <w:b/>
          <w:sz w:val="28"/>
          <w:szCs w:val="28"/>
        </w:rPr>
        <w:t>Рисунок 1.4.2 – Демографическая структура населения в 2016 году по муниципальным районам Самарской области</w:t>
      </w:r>
    </w:p>
    <w:p w:rsidR="00FA0047" w:rsidRPr="001F0139" w:rsidRDefault="00FA0047" w:rsidP="001F0139">
      <w:pPr>
        <w:spacing w:after="0" w:line="240" w:lineRule="auto"/>
        <w:ind w:firstLine="709"/>
        <w:jc w:val="center"/>
        <w:rPr>
          <w:rFonts w:ascii="Times New Roman" w:eastAsia="Times New Roman" w:hAnsi="Times New Roman" w:cs="Times New Roman"/>
          <w:b/>
          <w:sz w:val="28"/>
          <w:szCs w:val="28"/>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Сравнивая удельный вес по возрастным группам населения (моложе трудоспособного, трудоспособное и старше трудоспособного), можно </w:t>
      </w:r>
      <w:r w:rsidRPr="001F0139">
        <w:rPr>
          <w:rFonts w:ascii="Times New Roman" w:hAnsi="Times New Roman" w:cs="Times New Roman"/>
          <w:sz w:val="28"/>
          <w:szCs w:val="28"/>
        </w:rPr>
        <w:lastRenderedPageBreak/>
        <w:t xml:space="preserve">сделать вывод о стационарной возрастной структуре населения Камышлинского района (старение населения), близкой к структуре Самарской области и Российской Федерации в целом (рис.1.4.3). </w:t>
      </w:r>
    </w:p>
    <w:p w:rsidR="00FA0047" w:rsidRPr="001F0139" w:rsidRDefault="00A95D87" w:rsidP="001F0139">
      <w:pPr>
        <w:spacing w:after="0" w:line="360" w:lineRule="auto"/>
        <w:ind w:firstLine="709"/>
        <w:jc w:val="both"/>
        <w:rPr>
          <w:rFonts w:ascii="Times New Roman" w:hAnsi="Times New Roman" w:cs="Times New Roman"/>
          <w:sz w:val="28"/>
          <w:szCs w:val="28"/>
        </w:rPr>
      </w:pPr>
      <w:r>
        <w:rPr>
          <w:rFonts w:ascii="Times New Roman" w:hAnsi="Times New Roman" w:cs="Times New Roman"/>
          <w:noProof/>
        </w:rPr>
        <w:pict>
          <v:rect id="_x0000_s1037" style="position:absolute;left:0;text-align:left;margin-left:50.65pt;margin-top:2.25pt;width:399.15pt;height:47.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" fillcolor="#365f91" strokecolor="#365f91">
            <v:textbox>
              <w:txbxContent>
                <w:p w:rsidR="000B7CD7" w:rsidRPr="00BC1922" w:rsidRDefault="000B7CD7" w:rsidP="00FA0047">
                  <w:pPr>
                    <w:spacing w:after="0" w:line="240" w:lineRule="auto"/>
                    <w:jc w:val="center"/>
                  </w:pPr>
                  <w:r>
                    <w:rPr>
                      <w:rFonts w:ascii="Times New Roman" w:hAnsi="Times New Roman"/>
                      <w:b/>
                      <w:bCs/>
                      <w:color w:val="FFFFFF"/>
                      <w:sz w:val="20"/>
                      <w:szCs w:val="20"/>
                    </w:rPr>
                    <w:t>Демографическая структура населения Камышлинского района в 2016 году занимает среднюю позицию по сравнению с демографической структурой Самарской области и Российской Федерации</w:t>
                  </w:r>
                </w:p>
              </w:txbxContent>
            </v:textbox>
          </v:rect>
        </w:pict>
      </w:r>
    </w:p>
    <w:p w:rsidR="00FA0047" w:rsidRPr="001F0139" w:rsidRDefault="00FA0047" w:rsidP="001F0139">
      <w:pPr>
        <w:spacing w:after="0" w:line="360" w:lineRule="auto"/>
        <w:ind w:firstLine="709"/>
        <w:jc w:val="center"/>
        <w:rPr>
          <w:rFonts w:ascii="Times New Roman" w:hAnsi="Times New Roman" w:cs="Times New Roman"/>
          <w:sz w:val="20"/>
          <w:szCs w:val="20"/>
        </w:rPr>
      </w:pPr>
      <w:r w:rsidRPr="001F0139">
        <w:rPr>
          <w:rFonts w:ascii="Times New Roman" w:hAnsi="Times New Roman" w:cs="Times New Roman"/>
          <w:noProof/>
          <w:lang w:eastAsia="ru-RU"/>
        </w:rPr>
        <w:drawing>
          <wp:inline distT="0" distB="0" distL="0" distR="0">
            <wp:extent cx="5035296" cy="1889760"/>
            <wp:effectExtent l="19050" t="0" r="12954" b="0"/>
            <wp:docPr id="7" name="Диаграмма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A0047" w:rsidRPr="001F0139" w:rsidRDefault="00FA0047"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sz w:val="20"/>
          <w:szCs w:val="20"/>
        </w:rPr>
        <w:t>Источники: Муниципальные районы Самарской области, 2017. Статистический сборник. – Самара, 2017; Самарский статистический ежегодник. Статистический сборник. – Самара, 2017;</w:t>
      </w:r>
    </w:p>
    <w:p w:rsidR="00FA0047" w:rsidRPr="001F0139" w:rsidRDefault="00FA0047" w:rsidP="001F0139">
      <w:pPr>
        <w:spacing w:after="0" w:line="240" w:lineRule="auto"/>
        <w:jc w:val="center"/>
        <w:rPr>
          <w:rFonts w:ascii="Times New Roman" w:hAnsi="Times New Roman" w:cs="Times New Roman"/>
          <w:noProof/>
          <w:sz w:val="20"/>
          <w:szCs w:val="20"/>
          <w:lang w:eastAsia="ru-RU"/>
        </w:rPr>
      </w:pPr>
      <w:r w:rsidRPr="001F0139">
        <w:rPr>
          <w:rFonts w:ascii="Times New Roman" w:hAnsi="Times New Roman" w:cs="Times New Roman"/>
          <w:sz w:val="20"/>
          <w:szCs w:val="20"/>
        </w:rPr>
        <w:t>Российский статистический ежегодник. Статистический сборник. – Москва, 2017.</w:t>
      </w:r>
    </w:p>
    <w:p w:rsidR="00FA0047" w:rsidRPr="001F0139" w:rsidRDefault="00FA0047" w:rsidP="001F0139">
      <w:pPr>
        <w:spacing w:after="0" w:line="240" w:lineRule="auto"/>
        <w:jc w:val="center"/>
        <w:rPr>
          <w:rFonts w:ascii="Times New Roman" w:eastAsia="Times New Roman" w:hAnsi="Times New Roman" w:cs="Times New Roman"/>
          <w:b/>
          <w:sz w:val="28"/>
          <w:szCs w:val="28"/>
        </w:rPr>
      </w:pPr>
      <w:r w:rsidRPr="001F0139">
        <w:rPr>
          <w:rFonts w:ascii="Times New Roman" w:eastAsia="Times New Roman" w:hAnsi="Times New Roman" w:cs="Times New Roman"/>
          <w:b/>
          <w:sz w:val="28"/>
          <w:szCs w:val="28"/>
        </w:rPr>
        <w:t>Рисунок 1.4.3 – Сравнение распределения населения Камышлинского района, Самарской области и Российской Федерации по возрастным группам в 2016 году</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При существующей возрастной структуре населения в муниципальном районе в будущем сохранится тенденция снижения доли трудоспособного населения и демографического старения населения, что представляет собой риски демографического развития, негативно влияющие на рынок труда.</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Кроме естественной убыли населения на его численность также влияет миграционный отток. Не смотря на то, что максимальные цифры миграционной убыли значительно не снижаются, нельзя говорить о четкой тенденции к миграционной убыли населения: значения колеблются от 79 выехавших с территории человек в 2012 году до 6 прибывших человек в 2013 году. В 2012, 2014, 2015 гг., миграционная убыль в районе преобладала, в 2016 году наметилась тенденция к ее уменьшению (5 человек выбывших).</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 2012-2015 гг. устойчивой тенденцией в районе является выбытие жителей в другие </w:t>
      </w:r>
      <w:r w:rsidR="001F0139">
        <w:rPr>
          <w:rFonts w:ascii="Times New Roman" w:hAnsi="Times New Roman" w:cs="Times New Roman"/>
          <w:sz w:val="28"/>
          <w:szCs w:val="28"/>
        </w:rPr>
        <w:t>район</w:t>
      </w:r>
      <w:r w:rsidRPr="001F0139">
        <w:rPr>
          <w:rFonts w:ascii="Times New Roman" w:hAnsi="Times New Roman" w:cs="Times New Roman"/>
          <w:sz w:val="28"/>
          <w:szCs w:val="28"/>
        </w:rPr>
        <w:t xml:space="preserve">а и районы Самарской области, регионы России и прибытие жителей других государств (по большей части – жителей стран СНГ). Однако, в 2016 году ситуация изменилась, жители по-прежнему </w:t>
      </w:r>
      <w:r w:rsidRPr="001F0139">
        <w:rPr>
          <w:rFonts w:ascii="Times New Roman" w:hAnsi="Times New Roman" w:cs="Times New Roman"/>
          <w:sz w:val="28"/>
          <w:szCs w:val="28"/>
        </w:rPr>
        <w:lastRenderedPageBreak/>
        <w:t>перемещаются в основном внутри региона, а выбывают в другие государства, и прибывают из других регионов России (рис. 1.4.4).</w:t>
      </w:r>
    </w:p>
    <w:p w:rsidR="00FA0047" w:rsidRPr="001F0139" w:rsidRDefault="00FA0047" w:rsidP="001F0139">
      <w:pPr>
        <w:spacing w:after="0" w:line="360" w:lineRule="auto"/>
        <w:ind w:firstLine="567"/>
        <w:jc w:val="both"/>
        <w:rPr>
          <w:rFonts w:ascii="Times New Roman" w:hAnsi="Times New Roman" w:cs="Times New Roman"/>
          <w:sz w:val="28"/>
          <w:szCs w:val="28"/>
        </w:rPr>
      </w:pPr>
    </w:p>
    <w:p w:rsidR="00FA0047" w:rsidRPr="001F0139" w:rsidRDefault="00A95D87" w:rsidP="001F0139">
      <w:pPr>
        <w:spacing w:after="0" w:line="240" w:lineRule="auto"/>
        <w:jc w:val="center"/>
        <w:rPr>
          <w:rFonts w:ascii="Times New Roman" w:hAnsi="Times New Roman" w:cs="Times New Roman"/>
          <w:sz w:val="28"/>
          <w:szCs w:val="28"/>
        </w:rPr>
      </w:pPr>
      <w:r>
        <w:rPr>
          <w:rFonts w:ascii="Times New Roman" w:hAnsi="Times New Roman" w:cs="Times New Roman"/>
          <w:noProof/>
        </w:rPr>
        <w:pict>
          <v:rect id="_x0000_s1038" style="position:absolute;left:0;text-align:left;margin-left:12.65pt;margin-top:-26.3pt;width:213.8pt;height:43.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" fillcolor="#365f91" strokecolor="#365f91">
            <v:textbox>
              <w:txbxContent>
                <w:p w:rsidR="000B7CD7" w:rsidRPr="00BC1922" w:rsidRDefault="000B7CD7" w:rsidP="00FA0047">
                  <w:pPr>
                    <w:spacing w:after="0" w:line="240" w:lineRule="auto"/>
                    <w:jc w:val="center"/>
                  </w:pPr>
                  <w:r>
                    <w:rPr>
                      <w:rFonts w:ascii="Times New Roman" w:hAnsi="Times New Roman"/>
                      <w:b/>
                      <w:bCs/>
                      <w:color w:val="FFFFFF"/>
                      <w:sz w:val="20"/>
                      <w:szCs w:val="20"/>
                    </w:rPr>
                    <w:t>В Камышлинском районе в 2015 году преобладают внутрирегиональная и межрегиональная миграция</w:t>
                  </w:r>
                </w:p>
              </w:txbxContent>
            </v:textbox>
          </v:rect>
        </w:pict>
      </w:r>
      <w:r>
        <w:rPr>
          <w:rFonts w:ascii="Times New Roman" w:hAnsi="Times New Roman" w:cs="Times New Roman"/>
          <w:noProof/>
        </w:rPr>
        <w:pict>
          <v:rect id="_x0000_s1039" style="position:absolute;left:0;text-align:left;margin-left:236.45pt;margin-top:-26.3pt;width:216.1pt;height:42.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" fillcolor="#365f91" strokecolor="#365f91">
            <v:textbox>
              <w:txbxContent>
                <w:p w:rsidR="000B7CD7" w:rsidRPr="00BC1922" w:rsidRDefault="000B7CD7" w:rsidP="00FA0047">
                  <w:pPr>
                    <w:spacing w:after="0" w:line="240" w:lineRule="auto"/>
                    <w:jc w:val="center"/>
                  </w:pPr>
                  <w:r>
                    <w:rPr>
                      <w:rFonts w:ascii="Times New Roman" w:hAnsi="Times New Roman"/>
                      <w:b/>
                      <w:bCs/>
                      <w:color w:val="FFFFFF"/>
                      <w:sz w:val="20"/>
                      <w:szCs w:val="20"/>
                    </w:rPr>
                    <w:t>В Камышлинском районе в 2016 году преобладает межрегиональная миграция</w:t>
                  </w:r>
                </w:p>
              </w:txbxContent>
            </v:textbox>
          </v:rect>
        </w:pict>
      </w:r>
    </w:p>
    <w:p w:rsidR="00FA0047" w:rsidRPr="001F0139" w:rsidRDefault="00FA0047" w:rsidP="001F0139">
      <w:pPr>
        <w:spacing w:after="0" w:line="240" w:lineRule="auto"/>
        <w:jc w:val="center"/>
        <w:rPr>
          <w:rFonts w:ascii="Times New Roman" w:hAnsi="Times New Roman" w:cs="Times New Roman"/>
          <w:sz w:val="28"/>
          <w:szCs w:val="28"/>
        </w:rPr>
      </w:pPr>
      <w:r w:rsidRPr="001F0139">
        <w:rPr>
          <w:rFonts w:ascii="Times New Roman" w:hAnsi="Times New Roman" w:cs="Times New Roman"/>
          <w:noProof/>
          <w:lang w:eastAsia="ru-RU"/>
        </w:rPr>
        <w:drawing>
          <wp:inline distT="0" distB="0" distL="0" distR="0">
            <wp:extent cx="2651760" cy="2231390"/>
            <wp:effectExtent l="0" t="0" r="0" b="0"/>
            <wp:docPr id="221" name="Объект 2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1F0139">
        <w:rPr>
          <w:rFonts w:ascii="Times New Roman" w:hAnsi="Times New Roman" w:cs="Times New Roman"/>
        </w:rPr>
        <w:t xml:space="preserve"> </w:t>
      </w:r>
      <w:r w:rsidRPr="001F0139">
        <w:rPr>
          <w:rFonts w:ascii="Times New Roman" w:hAnsi="Times New Roman" w:cs="Times New Roman"/>
          <w:noProof/>
          <w:lang w:eastAsia="ru-RU"/>
        </w:rPr>
        <w:drawing>
          <wp:inline distT="0" distB="0" distL="0" distR="0">
            <wp:extent cx="2739675" cy="2525559"/>
            <wp:effectExtent l="6803" t="6706" r="8787" b="9640"/>
            <wp:docPr id="8" name="Диаграмма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0047" w:rsidRPr="001F0139" w:rsidRDefault="00FA0047"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sz w:val="20"/>
          <w:szCs w:val="20"/>
        </w:rPr>
        <w:t>Источник: Территориальный орган Федеральной службы государственной статистики по Самарской области. Режим доступа: http://www.gks.ru</w:t>
      </w:r>
    </w:p>
    <w:p w:rsidR="00FA0047" w:rsidRPr="001F0139" w:rsidRDefault="00FA0047" w:rsidP="001F0139">
      <w:pPr>
        <w:spacing w:after="0" w:line="240" w:lineRule="auto"/>
        <w:jc w:val="center"/>
        <w:rPr>
          <w:rFonts w:ascii="Times New Roman" w:hAnsi="Times New Roman" w:cs="Times New Roman"/>
          <w:b/>
          <w:sz w:val="24"/>
          <w:szCs w:val="24"/>
        </w:rPr>
      </w:pPr>
      <w:r w:rsidRPr="001F0139">
        <w:rPr>
          <w:rFonts w:ascii="Times New Roman" w:eastAsia="Times New Roman" w:hAnsi="Times New Roman" w:cs="Times New Roman"/>
          <w:b/>
          <w:sz w:val="28"/>
          <w:szCs w:val="28"/>
        </w:rPr>
        <w:t>Рисунок 1.4.4 – Территориальная структура миграционной убыли в Камышлинском районе в 2015, 2016 году</w:t>
      </w:r>
    </w:p>
    <w:p w:rsidR="00FA0047" w:rsidRPr="001F0139" w:rsidRDefault="00FA0047" w:rsidP="001F0139">
      <w:pPr>
        <w:spacing w:after="0" w:line="240" w:lineRule="auto"/>
        <w:jc w:val="center"/>
        <w:rPr>
          <w:rFonts w:ascii="Times New Roman" w:hAnsi="Times New Roman" w:cs="Times New Roman"/>
          <w:sz w:val="28"/>
          <w:szCs w:val="28"/>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 Камышлинский район приезжают люди из других территорий, в том числе и по программам, призванным решить кадровую проблему в бюджетной сфере — учреждениях образования, здравоохранения и культуры.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Ведется работа</w:t>
      </w:r>
      <w:r w:rsidRPr="001F0139">
        <w:rPr>
          <w:rFonts w:ascii="Times New Roman" w:hAnsi="Times New Roman" w:cs="Times New Roman"/>
          <w:color w:val="000000"/>
          <w:sz w:val="21"/>
          <w:szCs w:val="21"/>
        </w:rPr>
        <w:t xml:space="preserve"> </w:t>
      </w:r>
      <w:r w:rsidRPr="001F0139">
        <w:rPr>
          <w:rFonts w:ascii="Times New Roman" w:hAnsi="Times New Roman" w:cs="Times New Roman"/>
          <w:sz w:val="28"/>
          <w:szCs w:val="28"/>
        </w:rPr>
        <w:t xml:space="preserve">по таким направлениям, как укрепление института семьи, создание равных возможностей для полноценного развития всех детей. На территории Камышлинского района проживает 4101 семья, в том числе 2302 семьи, имеющих детей в возрасте от 0 до 18 лет, 132 – многодетные семьи. За последние годы, благодаря государственной поддержке семьи произошел рост рождаемости детей по сравнению с 2011 годом почти в 2 раза. Так, на декабрь 2017 года их насчитывается 110. Знаком отличия «Материнская доблесть» 1 и 2 степени на сегодня награждены 119 матерей Камышлинского района. 80 многодетных семей на сегодня изъявили желание получить земельный участок, 43 из них уже получили. Сформировано для многодетных семей – 103 земельных участка, зарегистрировано право на 19 участков. Самое широкое развитие в районе </w:t>
      </w:r>
      <w:r w:rsidRPr="001F0139">
        <w:rPr>
          <w:rFonts w:ascii="Times New Roman" w:hAnsi="Times New Roman" w:cs="Times New Roman"/>
          <w:sz w:val="28"/>
          <w:szCs w:val="28"/>
        </w:rPr>
        <w:lastRenderedPageBreak/>
        <w:t xml:space="preserve">получил институт приемной семьи. Всего в районе 174 приемных детей и детей, живущих под опекой родственников, 85 — приемных семей.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b/>
          <w:i/>
          <w:color w:val="365F91"/>
          <w:sz w:val="28"/>
          <w:szCs w:val="28"/>
        </w:rPr>
        <w:t xml:space="preserve">Сфера занятости и трудовые отношения, уровень жизни населения. </w:t>
      </w:r>
      <w:r w:rsidRPr="00854EA3">
        <w:rPr>
          <w:rFonts w:ascii="Times New Roman" w:hAnsi="Times New Roman" w:cs="Times New Roman"/>
          <w:sz w:val="28"/>
          <w:szCs w:val="28"/>
        </w:rPr>
        <w:t>Численность жителей района в трудоспособном возрасте составляет менее 5,9 тыс. человек. При этом среднегодовая численность работников организаций составляет 1,5 тыс. человек. Таким образом, значительная доля населения района занята в малом бизнесе.</w:t>
      </w:r>
      <w:r w:rsidRPr="001F0139">
        <w:rPr>
          <w:rFonts w:ascii="Times New Roman" w:hAnsi="Times New Roman" w:cs="Times New Roman"/>
          <w:sz w:val="28"/>
          <w:szCs w:val="28"/>
        </w:rPr>
        <w:t xml:space="preserve"> В 2017 году на территории района зарегистрировано 211 индивидуальных предпринимателей и 112 организаций. Из которых: 27 организаций, осуществляющих государственное управление и обеспечение военной безопасности, социального страхования, 27 – предоставление коммунальных, социальных и персональных услуг; 14 – операции с недвижимым имуществом, аренда и предоставление других услуг; 12 – организаций оптовой и розничной торговли, по ремонту автотранспортных средств, мотоциклов, бытовых изделий и предметов личного пользования; 10 – предприятий сельского хозяйства, охоты и лесного хозяйства; 6 –образование; 5 – производство и распределение электроэнергии, газа и воды; 4 – здравоохранение и предоставление социальных услуг; 3 – транспорт и связь; 2 – строительство; 1 – обрабатывающие производства; 1 – гостиницы и рестораны; не зарегистрировано организаций, осуществляющих финансовую деятельность.</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Большинство занятых в организациях, так или иначе связанных с бюджетной сферой (рис. 1.4.5).</w:t>
      </w:r>
    </w:p>
    <w:p w:rsidR="00FA0047" w:rsidRPr="001F0139" w:rsidRDefault="00A95D87" w:rsidP="001F0139">
      <w:pPr>
        <w:spacing w:after="0" w:line="240" w:lineRule="auto"/>
        <w:jc w:val="center"/>
        <w:rPr>
          <w:rFonts w:ascii="Times New Roman" w:hAnsi="Times New Roman" w:cs="Times New Roman"/>
          <w:sz w:val="20"/>
          <w:szCs w:val="20"/>
        </w:rPr>
      </w:pPr>
      <w:r>
        <w:rPr>
          <w:rFonts w:ascii="Times New Roman" w:hAnsi="Times New Roman" w:cs="Times New Roman"/>
          <w:noProof/>
        </w:rPr>
        <w:lastRenderedPageBreak/>
        <w:pict>
          <v:rect id="_x0000_s1040" style="position:absolute;left:0;text-align:left;margin-left:46.5pt;margin-top:-.15pt;width:375.65pt;height:32.6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" fillcolor="#365f91" strokecolor="#365f91">
            <v:textbox>
              <w:txbxContent>
                <w:p w:rsidR="000B7CD7" w:rsidRDefault="000B7CD7" w:rsidP="00FA0047">
                  <w:pPr>
                    <w:spacing w:after="0" w:line="240" w:lineRule="auto"/>
                    <w:jc w:val="center"/>
                    <w:rPr>
                      <w:b/>
                      <w:bCs/>
                      <w:color w:val="FFFFFF"/>
                      <w:sz w:val="20"/>
                    </w:rPr>
                  </w:pPr>
                  <w:r w:rsidRPr="00543920">
                    <w:rPr>
                      <w:rFonts w:ascii="Times New Roman Полужирный" w:hAnsi="Times New Roman Полужирный"/>
                      <w:b/>
                      <w:bCs/>
                      <w:color w:val="FFFFFF"/>
                      <w:sz w:val="20"/>
                    </w:rPr>
                    <w:t xml:space="preserve">Распределение организаций Камышлинского района </w:t>
                  </w:r>
                </w:p>
                <w:p w:rsidR="000B7CD7" w:rsidRPr="008F0D53" w:rsidRDefault="000B7CD7" w:rsidP="00FA0047">
                  <w:pPr>
                    <w:spacing w:after="0" w:line="240" w:lineRule="auto"/>
                    <w:jc w:val="center"/>
                    <w:rPr>
                      <w:rFonts w:ascii="Times New Roman Полужирный" w:hAnsi="Times New Roman Полужирный"/>
                      <w:color w:val="FFFFFF"/>
                      <w:sz w:val="20"/>
                    </w:rPr>
                  </w:pPr>
                  <w:r w:rsidRPr="00543920">
                    <w:rPr>
                      <w:rFonts w:ascii="Times New Roman Полужирный" w:hAnsi="Times New Roman Полужирный"/>
                      <w:b/>
                      <w:bCs/>
                      <w:color w:val="FFFFFF"/>
                      <w:sz w:val="20"/>
                    </w:rPr>
                    <w:t xml:space="preserve">по видам экономической </w:t>
                  </w:r>
                  <w:r w:rsidRPr="008F0D53">
                    <w:rPr>
                      <w:rFonts w:ascii="Times New Roman Полужирный" w:hAnsi="Times New Roman Полужирный"/>
                      <w:b/>
                      <w:bCs/>
                      <w:color w:val="FFFFFF"/>
                      <w:sz w:val="20"/>
                    </w:rPr>
                    <w:t>деятельности</w:t>
                  </w:r>
                </w:p>
              </w:txbxContent>
            </v:textbox>
          </v:rect>
        </w:pict>
      </w:r>
      <w:r w:rsidR="00FA0047" w:rsidRPr="001F0139">
        <w:rPr>
          <w:rFonts w:ascii="Times New Roman" w:hAnsi="Times New Roman" w:cs="Times New Roman"/>
          <w:noProof/>
          <w:lang w:eastAsia="ru-RU"/>
        </w:rPr>
        <w:drawing>
          <wp:inline distT="0" distB="0" distL="0" distR="0">
            <wp:extent cx="4785360" cy="5260975"/>
            <wp:effectExtent l="0" t="0" r="0" b="0"/>
            <wp:docPr id="9" name="Диаграмма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A0047" w:rsidRPr="001F0139" w:rsidRDefault="00FA0047" w:rsidP="001F0139">
      <w:pPr>
        <w:spacing w:after="0" w:line="240" w:lineRule="auto"/>
        <w:jc w:val="center"/>
        <w:rPr>
          <w:rFonts w:ascii="Times New Roman" w:hAnsi="Times New Roman" w:cs="Times New Roman"/>
          <w:sz w:val="20"/>
          <w:szCs w:val="20"/>
        </w:rPr>
      </w:pPr>
    </w:p>
    <w:p w:rsidR="00FA0047" w:rsidRPr="001F0139" w:rsidRDefault="00FA0047" w:rsidP="001F0139">
      <w:pPr>
        <w:spacing w:after="0" w:line="240" w:lineRule="auto"/>
        <w:jc w:val="center"/>
        <w:rPr>
          <w:rFonts w:ascii="Times New Roman" w:hAnsi="Times New Roman" w:cs="Times New Roman"/>
          <w:noProof/>
          <w:sz w:val="20"/>
          <w:szCs w:val="20"/>
          <w:lang w:eastAsia="ru-RU"/>
        </w:rPr>
      </w:pPr>
      <w:r w:rsidRPr="001F0139">
        <w:rPr>
          <w:rFonts w:ascii="Times New Roman" w:hAnsi="Times New Roman" w:cs="Times New Roman"/>
          <w:sz w:val="20"/>
          <w:szCs w:val="20"/>
        </w:rPr>
        <w:t>Источник: Муниципальные районы Самарской области. Статистический сборник. – Самара, 2017.</w:t>
      </w:r>
    </w:p>
    <w:p w:rsidR="00FA0047" w:rsidRPr="001F0139" w:rsidRDefault="00FA0047" w:rsidP="001F0139">
      <w:pPr>
        <w:spacing w:after="0" w:line="240" w:lineRule="auto"/>
        <w:jc w:val="center"/>
        <w:rPr>
          <w:rFonts w:ascii="Times New Roman" w:eastAsia="Times New Roman" w:hAnsi="Times New Roman" w:cs="Times New Roman"/>
          <w:b/>
          <w:sz w:val="28"/>
          <w:szCs w:val="28"/>
        </w:rPr>
      </w:pPr>
      <w:r w:rsidRPr="001F0139">
        <w:rPr>
          <w:rFonts w:ascii="Times New Roman" w:eastAsia="Times New Roman" w:hAnsi="Times New Roman" w:cs="Times New Roman"/>
          <w:b/>
          <w:sz w:val="28"/>
          <w:szCs w:val="28"/>
        </w:rPr>
        <w:t>Рисунок 1.4.5 – Количество организаций по видам экономической деятельности в Камышлинском районе на 1 января 2017 года</w:t>
      </w:r>
    </w:p>
    <w:p w:rsidR="00FA0047" w:rsidRPr="001F0139" w:rsidRDefault="00FA0047" w:rsidP="001F0139">
      <w:pPr>
        <w:spacing w:after="0" w:line="240" w:lineRule="auto"/>
        <w:jc w:val="center"/>
        <w:rPr>
          <w:rFonts w:ascii="Times New Roman" w:eastAsia="Times New Roman" w:hAnsi="Times New Roman" w:cs="Times New Roman"/>
          <w:b/>
          <w:sz w:val="28"/>
          <w:szCs w:val="28"/>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Принципиально другая структура распределения по видам экономической деятельности у индивидуальных предпринимателей (рис. 1.4.6). Зарегистрировано: 105 – </w:t>
      </w:r>
      <w:r w:rsidR="00BB0AA7" w:rsidRPr="0055572E">
        <w:rPr>
          <w:rFonts w:ascii="Times New Roman" w:hAnsi="Times New Roman" w:cs="Times New Roman"/>
          <w:sz w:val="28"/>
          <w:szCs w:val="28"/>
        </w:rPr>
        <w:t>субъектов</w:t>
      </w:r>
      <w:r w:rsidRPr="001F0139">
        <w:rPr>
          <w:rFonts w:ascii="Times New Roman" w:hAnsi="Times New Roman" w:cs="Times New Roman"/>
          <w:sz w:val="28"/>
          <w:szCs w:val="28"/>
        </w:rPr>
        <w:t xml:space="preserve"> оптовой и розничной торговли, по ремонту автотранспортных средств, мотоциклов, бытовых изделий и предметов личного пользования; 32 –</w:t>
      </w:r>
      <w:r w:rsidR="00BB0AA7">
        <w:rPr>
          <w:rFonts w:ascii="Times New Roman" w:hAnsi="Times New Roman" w:cs="Times New Roman"/>
          <w:sz w:val="28"/>
          <w:szCs w:val="28"/>
        </w:rPr>
        <w:t xml:space="preserve"> </w:t>
      </w:r>
      <w:r w:rsidRPr="001F0139">
        <w:rPr>
          <w:rFonts w:ascii="Times New Roman" w:hAnsi="Times New Roman" w:cs="Times New Roman"/>
          <w:sz w:val="28"/>
          <w:szCs w:val="28"/>
        </w:rPr>
        <w:t xml:space="preserve">сельского хозяйства, охоты и лесного хозяйства; 19 – транспорт и связь; 15 – обрабатывающие производства; 14 – гостиницы и рестораны; 12 – предоставление коммунальных, социальных и персональных услуг; 7 – операции с недвижимым имуществом, аренда и предоставление других услуг; 4 – </w:t>
      </w:r>
      <w:r w:rsidRPr="001F0139">
        <w:rPr>
          <w:rFonts w:ascii="Times New Roman" w:hAnsi="Times New Roman" w:cs="Times New Roman"/>
          <w:sz w:val="28"/>
          <w:szCs w:val="28"/>
        </w:rPr>
        <w:lastRenderedPageBreak/>
        <w:t xml:space="preserve">строительство; 1 – рыболовство, рыбоводство; 1– финансовая деятельность, 1 – образование. </w:t>
      </w:r>
    </w:p>
    <w:p w:rsidR="00FA0047" w:rsidRPr="001F0139" w:rsidRDefault="00A95D87" w:rsidP="001F0139">
      <w:pPr>
        <w:spacing w:after="0" w:line="360" w:lineRule="auto"/>
        <w:ind w:firstLine="567"/>
        <w:jc w:val="center"/>
        <w:rPr>
          <w:rFonts w:ascii="Times New Roman" w:hAnsi="Times New Roman" w:cs="Times New Roman"/>
          <w:sz w:val="20"/>
          <w:szCs w:val="20"/>
        </w:rPr>
      </w:pPr>
      <w:r>
        <w:rPr>
          <w:rFonts w:ascii="Times New Roman" w:hAnsi="Times New Roman" w:cs="Times New Roman"/>
          <w:noProof/>
        </w:rPr>
        <w:pict>
          <v:rect id="_x0000_s1041" style="position:absolute;left:0;text-align:left;margin-left:65.4pt;margin-top:1.1pt;width:366.25pt;height:36.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" fillcolor="#365f91" strokecolor="#365f91">
            <v:textbox>
              <w:txbxContent>
                <w:p w:rsidR="000B7CD7" w:rsidRPr="008F0D53" w:rsidRDefault="000B7CD7" w:rsidP="00FA0047">
                  <w:pPr>
                    <w:spacing w:after="0" w:line="240" w:lineRule="auto"/>
                    <w:jc w:val="center"/>
                    <w:rPr>
                      <w:rFonts w:ascii="Times New Roman Полужирный" w:hAnsi="Times New Roman Полужирный"/>
                      <w:color w:val="FFFFFF"/>
                      <w:sz w:val="20"/>
                    </w:rPr>
                  </w:pPr>
                  <w:r w:rsidRPr="00454639">
                    <w:rPr>
                      <w:rFonts w:ascii="Times New Roman Полужирный" w:hAnsi="Times New Roman Полужирный"/>
                      <w:b/>
                      <w:bCs/>
                      <w:color w:val="FFFFFF"/>
                      <w:sz w:val="20"/>
                    </w:rPr>
                    <w:t xml:space="preserve">Распределение индивидуальных предпринимателей Камышлинского района по видам экономической </w:t>
                  </w:r>
                  <w:r w:rsidRPr="008F0D53">
                    <w:rPr>
                      <w:rFonts w:ascii="Times New Roman Полужирный" w:hAnsi="Times New Roman Полужирный"/>
                      <w:b/>
                      <w:bCs/>
                      <w:color w:val="FFFFFF"/>
                      <w:sz w:val="20"/>
                    </w:rPr>
                    <w:t>деятельности</w:t>
                  </w:r>
                </w:p>
              </w:txbxContent>
            </v:textbox>
          </v:rect>
        </w:pict>
      </w:r>
      <w:r w:rsidR="00FA0047" w:rsidRPr="001F0139">
        <w:rPr>
          <w:rFonts w:ascii="Times New Roman" w:hAnsi="Times New Roman" w:cs="Times New Roman"/>
          <w:noProof/>
          <w:lang w:eastAsia="ru-RU"/>
        </w:rPr>
        <w:drawing>
          <wp:inline distT="0" distB="0" distL="0" distR="0">
            <wp:extent cx="4663440" cy="4730750"/>
            <wp:effectExtent l="0" t="0" r="0" b="0"/>
            <wp:docPr id="10" name="Диаграмма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A0047" w:rsidRPr="001F0139" w:rsidRDefault="00FA0047" w:rsidP="001F0139">
      <w:pPr>
        <w:spacing w:after="0" w:line="240" w:lineRule="auto"/>
        <w:ind w:firstLine="426"/>
        <w:jc w:val="both"/>
        <w:rPr>
          <w:rFonts w:ascii="Times New Roman" w:hAnsi="Times New Roman" w:cs="Times New Roman"/>
          <w:noProof/>
          <w:sz w:val="20"/>
          <w:szCs w:val="20"/>
          <w:lang w:eastAsia="ru-RU"/>
        </w:rPr>
      </w:pPr>
      <w:r w:rsidRPr="001F0139">
        <w:rPr>
          <w:rFonts w:ascii="Times New Roman" w:hAnsi="Times New Roman" w:cs="Times New Roman"/>
          <w:sz w:val="20"/>
          <w:szCs w:val="20"/>
        </w:rPr>
        <w:t>Источник: Муниципальные районы Самарской области. Статистический сборник. – Самара, 2017.</w:t>
      </w:r>
    </w:p>
    <w:p w:rsidR="00FA0047" w:rsidRPr="001F0139" w:rsidRDefault="00FA0047" w:rsidP="001F0139">
      <w:pPr>
        <w:spacing w:after="0" w:line="240" w:lineRule="auto"/>
        <w:ind w:firstLine="709"/>
        <w:jc w:val="center"/>
        <w:rPr>
          <w:rFonts w:ascii="Times New Roman" w:eastAsia="Times New Roman" w:hAnsi="Times New Roman" w:cs="Times New Roman"/>
          <w:b/>
          <w:sz w:val="28"/>
          <w:szCs w:val="28"/>
        </w:rPr>
      </w:pPr>
      <w:r w:rsidRPr="001F0139">
        <w:rPr>
          <w:rFonts w:ascii="Times New Roman" w:eastAsia="Times New Roman" w:hAnsi="Times New Roman" w:cs="Times New Roman"/>
          <w:b/>
          <w:sz w:val="28"/>
          <w:szCs w:val="28"/>
        </w:rPr>
        <w:t xml:space="preserve">Рисунок 1.4.6 – Количество индивидуальных предпринимателей </w:t>
      </w:r>
    </w:p>
    <w:p w:rsidR="00FA0047" w:rsidRPr="001F0139" w:rsidRDefault="00FA0047" w:rsidP="001F0139">
      <w:pPr>
        <w:spacing w:after="0" w:line="240" w:lineRule="auto"/>
        <w:ind w:firstLine="709"/>
        <w:jc w:val="center"/>
        <w:rPr>
          <w:rFonts w:ascii="Times New Roman" w:eastAsia="Times New Roman" w:hAnsi="Times New Roman" w:cs="Times New Roman"/>
          <w:b/>
          <w:sz w:val="28"/>
          <w:szCs w:val="28"/>
        </w:rPr>
      </w:pPr>
      <w:r w:rsidRPr="001F0139">
        <w:rPr>
          <w:rFonts w:ascii="Times New Roman" w:eastAsia="Times New Roman" w:hAnsi="Times New Roman" w:cs="Times New Roman"/>
          <w:b/>
          <w:sz w:val="28"/>
          <w:szCs w:val="28"/>
        </w:rPr>
        <w:t>по видам экономической деятельности в Камышлинском районе на 1 января 2017 года</w:t>
      </w:r>
    </w:p>
    <w:p w:rsidR="00FA0047" w:rsidRPr="001F0139" w:rsidRDefault="00FA0047" w:rsidP="001F0139">
      <w:pPr>
        <w:spacing w:after="0" w:line="240" w:lineRule="auto"/>
        <w:ind w:firstLine="709"/>
        <w:jc w:val="both"/>
        <w:rPr>
          <w:rFonts w:ascii="Times New Roman" w:eastAsia="Times New Roman" w:hAnsi="Times New Roman" w:cs="Times New Roman"/>
          <w:b/>
          <w:sz w:val="28"/>
          <w:szCs w:val="28"/>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Общий уровень официально зарегистрированной безработицы в Камышлинском районе на начало 2017 года составил 2,2% - это 9 место среди районов области (начиная с наибольшего значения, рис. 1.4.7). За три последних года уровень безработицы повысился – в среднем на 1,6% ежегодно. В анализируемом периоде отсутствовала просроченная задолженность по заработной плате работникам предприятий.</w:t>
      </w:r>
    </w:p>
    <w:p w:rsidR="00FA0047" w:rsidRPr="001F0139" w:rsidRDefault="00FA0047" w:rsidP="001F0139">
      <w:pPr>
        <w:spacing w:after="0" w:line="360" w:lineRule="auto"/>
        <w:ind w:firstLine="709"/>
        <w:jc w:val="both"/>
        <w:rPr>
          <w:rFonts w:ascii="Times New Roman" w:hAnsi="Times New Roman" w:cs="Times New Roman"/>
          <w:sz w:val="28"/>
          <w:szCs w:val="28"/>
        </w:rPr>
      </w:pPr>
    </w:p>
    <w:p w:rsidR="00FA0047" w:rsidRPr="001F0139" w:rsidRDefault="00A95D87" w:rsidP="001F0139">
      <w:pPr>
        <w:spacing w:after="0" w:line="240" w:lineRule="auto"/>
        <w:jc w:val="center"/>
        <w:rPr>
          <w:rFonts w:ascii="Times New Roman" w:hAnsi="Times New Roman" w:cs="Times New Roman"/>
          <w:sz w:val="18"/>
          <w:szCs w:val="18"/>
        </w:rPr>
      </w:pPr>
      <w:r>
        <w:rPr>
          <w:rFonts w:ascii="Times New Roman" w:hAnsi="Times New Roman" w:cs="Times New Roman"/>
          <w:noProof/>
        </w:rPr>
        <w:lastRenderedPageBreak/>
        <w:pict>
          <v:rect id="_x0000_s1042" style="position:absolute;left:0;text-align:left;margin-left:20pt;margin-top:-16.4pt;width:428.1pt;height:34.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" fillcolor="#365f91" strokecolor="#365f91">
            <v:textbox>
              <w:txbxContent>
                <w:p w:rsidR="000B7CD7" w:rsidRPr="008F0D53" w:rsidRDefault="000B7CD7" w:rsidP="00FA0047">
                  <w:pPr>
                    <w:spacing w:after="0" w:line="240" w:lineRule="auto"/>
                    <w:jc w:val="center"/>
                    <w:rPr>
                      <w:rFonts w:ascii="Times New Roman Полужирный" w:hAnsi="Times New Roman Полужирный"/>
                      <w:color w:val="FFFFFF"/>
                      <w:sz w:val="20"/>
                    </w:rPr>
                  </w:pPr>
                  <w:r w:rsidRPr="00E32B63">
                    <w:rPr>
                      <w:rFonts w:ascii="Times New Roman Полужирный" w:hAnsi="Times New Roman Полужирный"/>
                      <w:b/>
                      <w:bCs/>
                      <w:color w:val="FFFFFF"/>
                      <w:sz w:val="20"/>
                    </w:rPr>
                    <w:t>Камышлинский район занимает 9 место по официально зарегистрированной безработице на начало 2017 года среди районов Самарской области</w:t>
                  </w:r>
                </w:p>
              </w:txbxContent>
            </v:textbox>
          </v:rect>
        </w:pict>
      </w:r>
      <w:r w:rsidR="00FA0047" w:rsidRPr="001F0139">
        <w:rPr>
          <w:rFonts w:ascii="Times New Roman" w:hAnsi="Times New Roman" w:cs="Times New Roman"/>
          <w:noProof/>
          <w:lang w:eastAsia="ru-RU"/>
        </w:rPr>
        <w:drawing>
          <wp:inline distT="0" distB="0" distL="0" distR="0">
            <wp:extent cx="5435983" cy="3209674"/>
            <wp:effectExtent l="6095" t="6095" r="7492" b="8761"/>
            <wp:docPr id="11" name="Диаграмма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A0047" w:rsidRPr="001F0139" w:rsidRDefault="00FA0047" w:rsidP="001F0139">
      <w:pPr>
        <w:spacing w:after="0" w:line="240" w:lineRule="auto"/>
        <w:jc w:val="center"/>
        <w:rPr>
          <w:rFonts w:ascii="Times New Roman" w:hAnsi="Times New Roman" w:cs="Times New Roman"/>
          <w:noProof/>
          <w:sz w:val="20"/>
          <w:szCs w:val="20"/>
          <w:lang w:eastAsia="ru-RU"/>
        </w:rPr>
      </w:pPr>
      <w:r w:rsidRPr="001F0139">
        <w:rPr>
          <w:rFonts w:ascii="Times New Roman" w:hAnsi="Times New Roman" w:cs="Times New Roman"/>
          <w:sz w:val="20"/>
          <w:szCs w:val="20"/>
        </w:rPr>
        <w:t>Источник: Муниципальные районы Самарской области. Статистический сборник. – Самара, 2017.</w:t>
      </w:r>
    </w:p>
    <w:p w:rsidR="00FA0047" w:rsidRPr="001F0139" w:rsidRDefault="00FA0047" w:rsidP="001F0139">
      <w:pPr>
        <w:spacing w:after="0" w:line="240" w:lineRule="auto"/>
        <w:jc w:val="center"/>
        <w:rPr>
          <w:rFonts w:ascii="Times New Roman" w:hAnsi="Times New Roman" w:cs="Times New Roman"/>
          <w:b/>
          <w:sz w:val="24"/>
          <w:szCs w:val="24"/>
        </w:rPr>
      </w:pPr>
      <w:r w:rsidRPr="001F0139">
        <w:rPr>
          <w:rFonts w:ascii="Times New Roman" w:eastAsia="Times New Roman" w:hAnsi="Times New Roman" w:cs="Times New Roman"/>
          <w:b/>
          <w:sz w:val="28"/>
          <w:szCs w:val="28"/>
        </w:rPr>
        <w:t>Рисунок 1.4.7 – Уровень зарегистрированной безработицы на конец 2016 года и среднегодовой темп прироста показателя в 2014-2016 годах по муниципальным районам Самарской области</w:t>
      </w:r>
    </w:p>
    <w:p w:rsidR="00FA0047" w:rsidRPr="001F0139" w:rsidRDefault="00FA0047" w:rsidP="001F0139">
      <w:pPr>
        <w:spacing w:after="0" w:line="240" w:lineRule="auto"/>
        <w:jc w:val="center"/>
        <w:rPr>
          <w:rFonts w:ascii="Times New Roman" w:hAnsi="Times New Roman" w:cs="Times New Roman"/>
          <w:sz w:val="28"/>
          <w:szCs w:val="28"/>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По величине среднемесячной заработной платы работников организаций по итогам 2016 года (21407,2 руб.) район занял 21 место среди районов области (рис. 1.4.8). При этом по динамике показателя район занимает 18 место - в последние три года средний размер заработной платы рос в среднем на 7,02% ежегодно. Вместе с тем инфляция за тот же период в среднем составляла около 10% ежегодно и таким образом реальные доходы работающего населения сократились.</w:t>
      </w:r>
    </w:p>
    <w:p w:rsidR="00FA0047" w:rsidRPr="001F0139" w:rsidRDefault="00FA0047" w:rsidP="001F0139">
      <w:pPr>
        <w:spacing w:after="0" w:line="360" w:lineRule="auto"/>
        <w:ind w:firstLine="567"/>
        <w:jc w:val="both"/>
        <w:rPr>
          <w:rFonts w:ascii="Times New Roman" w:hAnsi="Times New Roman" w:cs="Times New Roman"/>
          <w:sz w:val="28"/>
          <w:szCs w:val="28"/>
        </w:rPr>
      </w:pPr>
    </w:p>
    <w:p w:rsidR="00FA0047" w:rsidRPr="001F0139" w:rsidRDefault="00A95D87" w:rsidP="001F0139">
      <w:pPr>
        <w:spacing w:after="0" w:line="240" w:lineRule="auto"/>
        <w:jc w:val="center"/>
        <w:rPr>
          <w:rFonts w:ascii="Times New Roman" w:hAnsi="Times New Roman" w:cs="Times New Roman"/>
          <w:sz w:val="28"/>
          <w:szCs w:val="28"/>
        </w:rPr>
      </w:pPr>
      <w:r>
        <w:rPr>
          <w:rFonts w:ascii="Times New Roman" w:hAnsi="Times New Roman" w:cs="Times New Roman"/>
          <w:noProof/>
        </w:rPr>
        <w:lastRenderedPageBreak/>
        <w:pict>
          <v:rect id="Прямоугольник 9" o:spid="_x0000_s1043" style="position:absolute;left:0;text-align:left;margin-left:13.55pt;margin-top:-10.15pt;width:439.6pt;height:34.8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" fillcolor="#365f91" strokecolor="#365f91">
            <v:textbox>
              <w:txbxContent>
                <w:p w:rsidR="000B7CD7" w:rsidRDefault="000B7CD7" w:rsidP="00FA0047">
                  <w:pPr>
                    <w:pStyle w:val="a7"/>
                    <w:spacing w:before="0" w:beforeAutospacing="0" w:after="0" w:afterAutospacing="0" w:line="276" w:lineRule="auto"/>
                    <w:jc w:val="center"/>
                  </w:pPr>
                  <w:r w:rsidRPr="00D34D5F">
                    <w:rPr>
                      <w:rFonts w:eastAsia="Calibri"/>
                      <w:b/>
                      <w:bCs/>
                      <w:color w:val="FFFFFF"/>
                      <w:sz w:val="20"/>
                      <w:szCs w:val="20"/>
                    </w:rPr>
                    <w:t>Камышлинский район занимает 21 место по величине среднемесячной заработной платы работников организаций в 2016</w:t>
                  </w:r>
                  <w:r>
                    <w:rPr>
                      <w:rFonts w:eastAsia="Calibri"/>
                      <w:b/>
                      <w:bCs/>
                      <w:color w:val="FFFFFF"/>
                      <w:sz w:val="20"/>
                      <w:szCs w:val="20"/>
                    </w:rPr>
                    <w:t xml:space="preserve"> </w:t>
                  </w:r>
                  <w:r w:rsidRPr="00D34D5F">
                    <w:rPr>
                      <w:rFonts w:eastAsia="Calibri"/>
                      <w:b/>
                      <w:bCs/>
                      <w:color w:val="FFFFFF"/>
                      <w:sz w:val="20"/>
                      <w:szCs w:val="20"/>
                    </w:rPr>
                    <w:t>году среди районов Самарской области</w:t>
                  </w:r>
                  <w:r>
                    <w:rPr>
                      <w:rFonts w:ascii="Arial" w:eastAsia="Calibri" w:hAnsi="Arial"/>
                      <w:sz w:val="22"/>
                      <w:szCs w:val="22"/>
                    </w:rPr>
                    <w:t> </w:t>
                  </w:r>
                </w:p>
              </w:txbxContent>
            </v:textbox>
          </v:rect>
        </w:pict>
      </w:r>
      <w:r w:rsidR="00FA0047" w:rsidRPr="001F0139">
        <w:rPr>
          <w:rFonts w:ascii="Times New Roman" w:hAnsi="Times New Roman" w:cs="Times New Roman"/>
          <w:noProof/>
          <w:lang w:eastAsia="ru-RU"/>
        </w:rPr>
        <w:drawing>
          <wp:inline distT="0" distB="0" distL="0" distR="0">
            <wp:extent cx="5583047" cy="4044317"/>
            <wp:effectExtent l="19050" t="0" r="17653" b="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A0047" w:rsidRPr="001F0139" w:rsidRDefault="00FA0047"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sz w:val="20"/>
          <w:szCs w:val="20"/>
        </w:rPr>
        <w:t>Источник: Муниципальные районы Самарской области. Статистический сборник. – Самара, 2017.</w:t>
      </w:r>
    </w:p>
    <w:p w:rsidR="00FA0047" w:rsidRPr="001F0139" w:rsidRDefault="00FA0047" w:rsidP="001F0139">
      <w:pPr>
        <w:spacing w:after="0" w:line="240" w:lineRule="auto"/>
        <w:jc w:val="center"/>
        <w:rPr>
          <w:rFonts w:ascii="Times New Roman" w:eastAsia="Times New Roman" w:hAnsi="Times New Roman" w:cs="Times New Roman"/>
          <w:b/>
          <w:sz w:val="28"/>
          <w:szCs w:val="28"/>
        </w:rPr>
      </w:pPr>
      <w:r w:rsidRPr="001F0139">
        <w:rPr>
          <w:rFonts w:ascii="Times New Roman" w:eastAsia="Times New Roman" w:hAnsi="Times New Roman" w:cs="Times New Roman"/>
          <w:b/>
          <w:sz w:val="28"/>
          <w:szCs w:val="28"/>
        </w:rPr>
        <w:t>Рисунок 1.4.8 – Среднемесячная заработная плата в 2016 году и среднегодовой темп прироста показателя в 2014-2016 годах по муниципальным районам Самарской области</w:t>
      </w:r>
    </w:p>
    <w:p w:rsidR="00FA0047" w:rsidRPr="001F0139" w:rsidRDefault="00FA0047" w:rsidP="001F0139">
      <w:pPr>
        <w:spacing w:after="0" w:line="240" w:lineRule="auto"/>
        <w:jc w:val="center"/>
        <w:rPr>
          <w:rFonts w:ascii="Times New Roman" w:eastAsia="Times New Roman" w:hAnsi="Times New Roman" w:cs="Times New Roman"/>
          <w:b/>
          <w:sz w:val="28"/>
          <w:szCs w:val="28"/>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Среднемесячная номинальная начисленная заработная плата работников организаций Камышлинского района 2014-2017 гг. находится ниже уровня среднеобластного и среднероссийского значения. В целом динамика роста среднемесячной номинальной начисленной заработной платы работников организаций Камышлинского района совпадает с динамикой по Самарской области и РФ. Уровень зарегистрированной безработицы 2014-2016 гг. высокий по сравнению с уровнем Самарской области и РФ (рис. 1.4.9).</w:t>
      </w:r>
    </w:p>
    <w:p w:rsidR="00FA0047" w:rsidRPr="001F0139" w:rsidRDefault="00FA0047" w:rsidP="001F0139">
      <w:pPr>
        <w:spacing w:after="0" w:line="240" w:lineRule="auto"/>
        <w:jc w:val="center"/>
        <w:rPr>
          <w:rFonts w:ascii="Times New Roman" w:hAnsi="Times New Roman" w:cs="Times New Roman"/>
          <w:sz w:val="28"/>
          <w:szCs w:val="28"/>
        </w:rPr>
      </w:pPr>
      <w:r w:rsidRPr="001F0139">
        <w:rPr>
          <w:rFonts w:ascii="Times New Roman" w:hAnsi="Times New Roman" w:cs="Times New Roman"/>
          <w:noProof/>
          <w:lang w:eastAsia="ru-RU"/>
        </w:rPr>
        <w:lastRenderedPageBreak/>
        <w:drawing>
          <wp:inline distT="0" distB="0" distL="0" distR="0">
            <wp:extent cx="2419985" cy="3432175"/>
            <wp:effectExtent l="0" t="0" r="0" b="0"/>
            <wp:docPr id="255" name="Объект 2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F0139">
        <w:rPr>
          <w:rFonts w:ascii="Times New Roman" w:hAnsi="Times New Roman" w:cs="Times New Roman"/>
          <w:noProof/>
          <w:lang w:eastAsia="ru-RU"/>
        </w:rPr>
        <w:t xml:space="preserve"> </w:t>
      </w:r>
      <w:r w:rsidRPr="001F0139">
        <w:rPr>
          <w:rFonts w:ascii="Times New Roman" w:hAnsi="Times New Roman" w:cs="Times New Roman"/>
          <w:noProof/>
          <w:lang w:eastAsia="ru-RU"/>
        </w:rPr>
        <w:drawing>
          <wp:inline distT="0" distB="0" distL="0" distR="0">
            <wp:extent cx="2480945" cy="3432175"/>
            <wp:effectExtent l="0" t="0" r="0" b="0"/>
            <wp:docPr id="251" name="Объект 2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A0047" w:rsidRPr="001F0139" w:rsidRDefault="00FA0047" w:rsidP="001F0139">
      <w:pPr>
        <w:pStyle w:val="a3"/>
        <w:spacing w:after="0" w:line="240" w:lineRule="auto"/>
        <w:ind w:left="0"/>
        <w:jc w:val="center"/>
        <w:rPr>
          <w:rFonts w:ascii="Times New Roman" w:hAnsi="Times New Roman" w:cs="Times New Roman"/>
          <w:sz w:val="20"/>
          <w:szCs w:val="20"/>
        </w:rPr>
      </w:pPr>
      <w:r w:rsidRPr="001F0139">
        <w:rPr>
          <w:rFonts w:ascii="Times New Roman" w:hAnsi="Times New Roman" w:cs="Times New Roman"/>
          <w:sz w:val="20"/>
          <w:szCs w:val="20"/>
        </w:rPr>
        <w:t xml:space="preserve">Источники: ФСГС </w:t>
      </w:r>
      <w:r w:rsidRPr="001F0139">
        <w:rPr>
          <w:rFonts w:ascii="Times New Roman" w:hAnsi="Times New Roman" w:cs="Times New Roman"/>
          <w:sz w:val="20"/>
          <w:szCs w:val="20"/>
          <w:lang w:val="en-US" w:eastAsia="ru-RU"/>
        </w:rPr>
        <w:t>URL</w:t>
      </w:r>
      <w:r w:rsidRPr="001F0139">
        <w:rPr>
          <w:rFonts w:ascii="Times New Roman" w:hAnsi="Times New Roman" w:cs="Times New Roman"/>
          <w:sz w:val="20"/>
          <w:szCs w:val="20"/>
        </w:rPr>
        <w:t xml:space="preserve">: </w:t>
      </w:r>
      <w:hyperlink r:id="rId25" w:history="1">
        <w:r w:rsidRPr="001F0139">
          <w:rPr>
            <w:rStyle w:val="ae"/>
            <w:rFonts w:ascii="Times New Roman" w:hAnsi="Times New Roman" w:cs="Times New Roman"/>
            <w:sz w:val="20"/>
            <w:szCs w:val="20"/>
          </w:rPr>
          <w:t>http://www.gks.ru/</w:t>
        </w:r>
      </w:hyperlink>
      <w:r w:rsidRPr="001F0139">
        <w:rPr>
          <w:rFonts w:ascii="Times New Roman" w:hAnsi="Times New Roman" w:cs="Times New Roman"/>
          <w:sz w:val="20"/>
          <w:szCs w:val="20"/>
        </w:rPr>
        <w:t xml:space="preserve">; Муниципальные районы Самарской области. Статистический сборник. – Самара, 2017. Рейтинг социально-экономического развития муниципальных образований Самарской области МЭРИТ </w:t>
      </w:r>
      <w:r w:rsidRPr="001F0139">
        <w:rPr>
          <w:rFonts w:ascii="Times New Roman" w:hAnsi="Times New Roman" w:cs="Times New Roman"/>
          <w:sz w:val="20"/>
          <w:szCs w:val="20"/>
          <w:lang w:val="en-US" w:eastAsia="ru-RU"/>
        </w:rPr>
        <w:t>URL</w:t>
      </w:r>
      <w:r w:rsidRPr="001F0139">
        <w:rPr>
          <w:rFonts w:ascii="Times New Roman" w:hAnsi="Times New Roman" w:cs="Times New Roman"/>
          <w:sz w:val="20"/>
          <w:szCs w:val="20"/>
          <w:lang w:eastAsia="ru-RU"/>
        </w:rPr>
        <w:t xml:space="preserve">: </w:t>
      </w:r>
      <w:hyperlink r:id="rId26" w:history="1">
        <w:r w:rsidRPr="001F0139">
          <w:rPr>
            <w:rStyle w:val="ae"/>
            <w:rFonts w:ascii="Times New Roman" w:hAnsi="Times New Roman" w:cs="Times New Roman"/>
            <w:sz w:val="20"/>
            <w:szCs w:val="20"/>
          </w:rPr>
          <w:t>http://economy.samregion.ru/</w:t>
        </w:r>
      </w:hyperlink>
      <w:r w:rsidRPr="001F0139">
        <w:rPr>
          <w:rFonts w:ascii="Times New Roman" w:hAnsi="Times New Roman" w:cs="Times New Roman"/>
          <w:sz w:val="20"/>
          <w:szCs w:val="20"/>
        </w:rPr>
        <w:t>; аналитика ФГБОУ ВО «СГЭУ»</w:t>
      </w:r>
    </w:p>
    <w:p w:rsidR="00FA0047" w:rsidRPr="001F0139" w:rsidRDefault="00FA0047" w:rsidP="001F0139">
      <w:pPr>
        <w:pStyle w:val="a3"/>
        <w:spacing w:after="0" w:line="240" w:lineRule="auto"/>
        <w:ind w:left="0"/>
        <w:jc w:val="center"/>
        <w:rPr>
          <w:rFonts w:ascii="Times New Roman" w:hAnsi="Times New Roman" w:cs="Times New Roman"/>
          <w:b/>
          <w:bCs/>
          <w:sz w:val="28"/>
          <w:szCs w:val="28"/>
        </w:rPr>
      </w:pPr>
      <w:r w:rsidRPr="001F0139">
        <w:rPr>
          <w:rFonts w:ascii="Times New Roman" w:eastAsia="Times New Roman" w:hAnsi="Times New Roman" w:cs="Times New Roman"/>
          <w:b/>
          <w:sz w:val="28"/>
          <w:szCs w:val="28"/>
        </w:rPr>
        <w:t xml:space="preserve">Рисунок 1.4.9 – </w:t>
      </w:r>
      <w:r w:rsidRPr="001F0139">
        <w:rPr>
          <w:rFonts w:ascii="Times New Roman" w:hAnsi="Times New Roman" w:cs="Times New Roman"/>
          <w:b/>
          <w:bCs/>
          <w:sz w:val="28"/>
          <w:szCs w:val="28"/>
        </w:rPr>
        <w:t>Динамика среднемесячной номинальной начисленной</w:t>
      </w:r>
    </w:p>
    <w:p w:rsidR="00FA0047" w:rsidRPr="001F0139" w:rsidRDefault="00FA0047" w:rsidP="001F0139">
      <w:pPr>
        <w:pStyle w:val="a3"/>
        <w:spacing w:after="0" w:line="240" w:lineRule="auto"/>
        <w:ind w:left="0"/>
        <w:jc w:val="center"/>
        <w:rPr>
          <w:rFonts w:ascii="Times New Roman" w:hAnsi="Times New Roman" w:cs="Times New Roman"/>
          <w:b/>
          <w:bCs/>
          <w:sz w:val="28"/>
          <w:szCs w:val="28"/>
        </w:rPr>
      </w:pPr>
      <w:r w:rsidRPr="001F0139">
        <w:rPr>
          <w:rFonts w:ascii="Times New Roman" w:hAnsi="Times New Roman" w:cs="Times New Roman"/>
          <w:b/>
          <w:bCs/>
          <w:sz w:val="28"/>
          <w:szCs w:val="28"/>
        </w:rPr>
        <w:t>заработной платы работников организаций в РФ, Самарской области и м.р. Камышлинский, руб. и уровня зарегистрированной безработицы в РФ, Самарской области и м.р. Камышлинский (на конец года), %</w:t>
      </w:r>
    </w:p>
    <w:p w:rsidR="00FA0047" w:rsidRPr="001F0139" w:rsidRDefault="00FA0047" w:rsidP="001F0139">
      <w:pPr>
        <w:spacing w:after="0" w:line="240" w:lineRule="auto"/>
        <w:jc w:val="center"/>
        <w:rPr>
          <w:rFonts w:ascii="Times New Roman" w:hAnsi="Times New Roman" w:cs="Times New Roman"/>
          <w:sz w:val="28"/>
          <w:szCs w:val="28"/>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На территории Камышлинского муниципального района существует </w:t>
      </w:r>
      <w:r w:rsidRPr="00854EA3">
        <w:rPr>
          <w:rFonts w:ascii="Times New Roman" w:hAnsi="Times New Roman" w:cs="Times New Roman"/>
          <w:sz w:val="28"/>
          <w:szCs w:val="28"/>
        </w:rPr>
        <w:t>3 социально-ориентированные некоммерческие организации.</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полной мере представлена сеть учреждений социальной защиты, необходимая для обеспечения предоставления минимальных социальных гарантий населению. В целях сохранения социальной стабильности в части обеспечения своевременности и полноты социальных выплат и льгот населению социальными учреждениями ежегодно предоставляется весь комплекс мер социальной поддержки, а именно: материальная помощь за счет всех источников финансирования, гражданам пожилого возраста и инвалидам оказывается социальная помощь на дому.</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Работает отделение социальной реабилитации граждан пожилого возраста и инвалидов. Управлением социальной защиты населения постоянно ведется работа по предоставлению адресных субсидий на оплату жилья и коммунальных услуг малообеспеченным семьям. </w:t>
      </w:r>
    </w:p>
    <w:p w:rsidR="00FA0047" w:rsidRPr="001F0139" w:rsidRDefault="00FA0047" w:rsidP="001F0139">
      <w:pPr>
        <w:spacing w:after="0" w:line="360" w:lineRule="auto"/>
        <w:contextualSpacing/>
        <w:outlineLvl w:val="2"/>
        <w:rPr>
          <w:rFonts w:ascii="Times New Roman" w:hAnsi="Times New Roman" w:cs="Times New Roman"/>
          <w:b/>
          <w:color w:val="365F91"/>
          <w:sz w:val="28"/>
          <w:szCs w:val="28"/>
        </w:rPr>
      </w:pPr>
      <w:bookmarkStart w:id="17" w:name="_Toc520894831"/>
      <w:r w:rsidRPr="001F0139">
        <w:rPr>
          <w:rFonts w:ascii="Times New Roman" w:hAnsi="Times New Roman" w:cs="Times New Roman"/>
          <w:b/>
          <w:color w:val="365F91"/>
          <w:sz w:val="28"/>
          <w:szCs w:val="28"/>
        </w:rPr>
        <w:lastRenderedPageBreak/>
        <w:t>Образование</w:t>
      </w:r>
      <w:bookmarkEnd w:id="17"/>
    </w:p>
    <w:p w:rsidR="00FA0047" w:rsidRPr="001F0139" w:rsidRDefault="00FA0047" w:rsidP="001F0139">
      <w:pPr>
        <w:keepNext/>
        <w:spacing w:after="0" w:line="360" w:lineRule="auto"/>
        <w:ind w:firstLine="709"/>
        <w:jc w:val="both"/>
        <w:rPr>
          <w:rFonts w:ascii="Times New Roman" w:hAnsi="Times New Roman" w:cs="Times New Roman"/>
          <w:sz w:val="28"/>
          <w:szCs w:val="28"/>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 состав образовательной системы Камышлинского муниципального района входят: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государственные бюджетные общеобразовательные учреждения со структурными подразделениями дошкольного и дополнительного образования;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коррекционная школа-интернат;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ГБПОУ «Образовательный центр с. Камышла».</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На территории муниципального района функционирует 7 структурных подразделений (филиалов) дневных общеобразовательных учреждений с общим количеством мест 1007; 519 воспитанников, посещающих организаций, осуществляющие образовательную деятельность по образовательным программам дошкольного образования, присмотр и уход за детьми.</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 результате реорганизации в 2012 году дошкольные образовательные организации утратили статус юридических лиц и вошли в состав </w:t>
      </w:r>
      <w:r w:rsidRPr="001F0139">
        <w:rPr>
          <w:rFonts w:ascii="Times New Roman" w:hAnsi="Times New Roman" w:cs="Times New Roman"/>
          <w:sz w:val="28"/>
          <w:szCs w:val="28"/>
        </w:rPr>
        <w:br/>
        <w:t>общеобразовательных организаций. До 2012 года на территории района функционировало 4 дошкольные образовательные организации, в 201</w:t>
      </w:r>
      <w:r w:rsidR="006B23FC">
        <w:rPr>
          <w:rFonts w:ascii="Times New Roman" w:hAnsi="Times New Roman" w:cs="Times New Roman"/>
          <w:sz w:val="28"/>
          <w:szCs w:val="28"/>
        </w:rPr>
        <w:t>7</w:t>
      </w:r>
      <w:r w:rsidRPr="001F0139">
        <w:rPr>
          <w:rFonts w:ascii="Times New Roman" w:hAnsi="Times New Roman" w:cs="Times New Roman"/>
          <w:sz w:val="28"/>
          <w:szCs w:val="28"/>
        </w:rPr>
        <w:t xml:space="preserve"> году – 6 организаций, осуществляющих образовательную деятельность по образовательным программам дошкольного образования, присмотр и уход за детьми.</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Дошкольным образованием охвачено около 500 детей, что составляет почти 57% от общей численности детей в возрасте 1-7 лет (5 место среди муниципальных районов области, рис. 1.4.10). Капитальный ремонт всех детских дошкольных учреждений завершен. По состоянию на 1 января 2016 года очередь для зачисления детей в возрасте от 3 до 7 лет в дошкольные учреждения, реализующие основную общеобразовательную программу дошкольного образования ликвидирована.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 xml:space="preserve">В </w:t>
      </w:r>
      <w:r w:rsidRPr="006B23FC">
        <w:rPr>
          <w:rFonts w:ascii="Times New Roman" w:hAnsi="Times New Roman" w:cs="Times New Roman"/>
          <w:sz w:val="28"/>
          <w:szCs w:val="28"/>
        </w:rPr>
        <w:t>201</w:t>
      </w:r>
      <w:r w:rsidR="00854EA3" w:rsidRPr="006B23FC">
        <w:rPr>
          <w:rFonts w:ascii="Times New Roman" w:hAnsi="Times New Roman" w:cs="Times New Roman"/>
          <w:sz w:val="28"/>
          <w:szCs w:val="28"/>
        </w:rPr>
        <w:t>7</w:t>
      </w:r>
      <w:r w:rsidRPr="001F0139">
        <w:rPr>
          <w:rFonts w:ascii="Times New Roman" w:hAnsi="Times New Roman" w:cs="Times New Roman"/>
          <w:sz w:val="28"/>
          <w:szCs w:val="28"/>
        </w:rPr>
        <w:t xml:space="preserve"> году продолжилась работа по приведению зданий образовательных учреждений в соответствие с установленными требованиями. В районе в прошедшем году школы размещались в 11 капитальных зданиях. В 2015-201</w:t>
      </w:r>
      <w:r w:rsidR="00854EA3">
        <w:rPr>
          <w:rFonts w:ascii="Times New Roman" w:hAnsi="Times New Roman" w:cs="Times New Roman"/>
          <w:sz w:val="28"/>
          <w:szCs w:val="28"/>
        </w:rPr>
        <w:t>7</w:t>
      </w:r>
      <w:r w:rsidRPr="001F0139">
        <w:rPr>
          <w:rFonts w:ascii="Times New Roman" w:hAnsi="Times New Roman" w:cs="Times New Roman"/>
          <w:sz w:val="28"/>
          <w:szCs w:val="28"/>
        </w:rPr>
        <w:t xml:space="preserve"> гг. капитальный ремонт требуется в пяти зданиях школ из 11-ти (доля зданий составила 45,5%), к </w:t>
      </w:r>
      <w:r w:rsidRPr="006B23FC">
        <w:rPr>
          <w:rFonts w:ascii="Times New Roman" w:hAnsi="Times New Roman" w:cs="Times New Roman"/>
          <w:sz w:val="28"/>
          <w:szCs w:val="28"/>
        </w:rPr>
        <w:t>20</w:t>
      </w:r>
      <w:r w:rsidR="00854EA3" w:rsidRPr="006B23FC">
        <w:rPr>
          <w:rFonts w:ascii="Times New Roman" w:hAnsi="Times New Roman" w:cs="Times New Roman"/>
          <w:sz w:val="28"/>
          <w:szCs w:val="28"/>
        </w:rPr>
        <w:t>20</w:t>
      </w:r>
      <w:r w:rsidRPr="001F0139">
        <w:rPr>
          <w:rFonts w:ascii="Times New Roman" w:hAnsi="Times New Roman" w:cs="Times New Roman"/>
          <w:sz w:val="28"/>
          <w:szCs w:val="28"/>
        </w:rPr>
        <w:t xml:space="preserve"> году планируется отремонтировать 3 здания. </w:t>
      </w:r>
    </w:p>
    <w:p w:rsidR="00FA0047" w:rsidRPr="001F0139" w:rsidRDefault="00A95D87" w:rsidP="001F0139">
      <w:pPr>
        <w:spacing w:after="0" w:line="360" w:lineRule="auto"/>
        <w:ind w:firstLine="709"/>
        <w:jc w:val="center"/>
        <w:rPr>
          <w:rFonts w:ascii="Times New Roman" w:hAnsi="Times New Roman" w:cs="Times New Roman"/>
          <w:sz w:val="28"/>
          <w:szCs w:val="28"/>
        </w:rPr>
      </w:pPr>
      <w:r>
        <w:rPr>
          <w:rFonts w:ascii="Times New Roman" w:hAnsi="Times New Roman" w:cs="Times New Roman"/>
          <w:noProof/>
        </w:rPr>
        <w:pict>
          <v:rect id="Прямоугольник 54" o:spid="_x0000_s1028" style="position:absolute;left:0;text-align:left;margin-left:58.15pt;margin-top:3.65pt;width:370.15pt;height:45.35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" fillcolor="#365f91" strokecolor="#365f91">
            <v:textbox>
              <w:txbxContent>
                <w:p w:rsidR="000B7CD7" w:rsidRPr="00790352" w:rsidRDefault="000B7CD7" w:rsidP="00FA0047">
                  <w:pPr>
                    <w:pStyle w:val="a7"/>
                    <w:spacing w:before="0" w:beforeAutospacing="0" w:after="0" w:afterAutospacing="0" w:line="276" w:lineRule="auto"/>
                    <w:jc w:val="center"/>
                    <w:rPr>
                      <w:sz w:val="20"/>
                      <w:szCs w:val="20"/>
                    </w:rPr>
                  </w:pPr>
                  <w:r w:rsidRPr="00790352">
                    <w:rPr>
                      <w:rFonts w:eastAsia="Calibri"/>
                      <w:b/>
                      <w:bCs/>
                      <w:color w:val="FFFFFF"/>
                      <w:sz w:val="20"/>
                      <w:szCs w:val="20"/>
                    </w:rPr>
                    <w:t>По доле детей в возрасте 1-7 лет, охваченных услугами дошкольного образования, в общей численности детей 1-7 лет в 2016 году</w:t>
                  </w:r>
                  <w:r>
                    <w:rPr>
                      <w:rFonts w:eastAsia="Calibri"/>
                      <w:b/>
                      <w:bCs/>
                      <w:color w:val="FFFFFF"/>
                      <w:sz w:val="20"/>
                      <w:szCs w:val="20"/>
                    </w:rPr>
                    <w:t xml:space="preserve"> </w:t>
                  </w:r>
                  <w:r w:rsidRPr="00790352">
                    <w:rPr>
                      <w:rFonts w:eastAsia="Calibri"/>
                      <w:b/>
                      <w:bCs/>
                      <w:color w:val="FFFFFF"/>
                      <w:sz w:val="20"/>
                      <w:szCs w:val="20"/>
                    </w:rPr>
                    <w:t>Камышлинский</w:t>
                  </w:r>
                  <w:r>
                    <w:rPr>
                      <w:rFonts w:eastAsia="Calibri"/>
                      <w:b/>
                      <w:bCs/>
                      <w:color w:val="FFFFFF"/>
                      <w:sz w:val="20"/>
                      <w:szCs w:val="20"/>
                    </w:rPr>
                    <w:t xml:space="preserve"> </w:t>
                  </w:r>
                  <w:r w:rsidRPr="00790352">
                    <w:rPr>
                      <w:rFonts w:eastAsia="Calibri"/>
                      <w:b/>
                      <w:bCs/>
                      <w:color w:val="FFFFFF"/>
                      <w:sz w:val="20"/>
                      <w:szCs w:val="20"/>
                    </w:rPr>
                    <w:t>район занимает 5 место среди районов Самарской области</w:t>
                  </w:r>
                </w:p>
              </w:txbxContent>
            </v:textbox>
          </v:rect>
        </w:pict>
      </w:r>
    </w:p>
    <w:p w:rsidR="00FA0047" w:rsidRPr="001F0139" w:rsidRDefault="00FA0047" w:rsidP="001F0139">
      <w:pPr>
        <w:spacing w:after="0" w:line="240" w:lineRule="auto"/>
        <w:ind w:firstLine="426"/>
        <w:jc w:val="center"/>
        <w:rPr>
          <w:rFonts w:ascii="Times New Roman" w:hAnsi="Times New Roman" w:cs="Times New Roman"/>
          <w:sz w:val="20"/>
          <w:szCs w:val="20"/>
        </w:rPr>
      </w:pPr>
      <w:r w:rsidRPr="001F0139">
        <w:rPr>
          <w:rFonts w:ascii="Times New Roman" w:hAnsi="Times New Roman" w:cs="Times New Roman"/>
          <w:noProof/>
          <w:lang w:eastAsia="ru-RU"/>
        </w:rPr>
        <w:drawing>
          <wp:inline distT="0" distB="0" distL="0" distR="0">
            <wp:extent cx="4712335" cy="3200400"/>
            <wp:effectExtent l="19050" t="0" r="0" b="0"/>
            <wp:docPr id="15" name="Диаграмма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5"/>
                    <pic:cNvPicPr>
                      <a:picLocks noChangeArrowheads="1"/>
                    </pic:cNvPicPr>
                  </pic:nvPicPr>
                  <pic:blipFill>
                    <a:blip r:embed="rId27" cstate="print"/>
                    <a:srcRect/>
                    <a:stretch>
                      <a:fillRect/>
                    </a:stretch>
                  </pic:blipFill>
                  <pic:spPr bwMode="auto">
                    <a:xfrm>
                      <a:off x="0" y="0"/>
                      <a:ext cx="4712335" cy="3200400"/>
                    </a:xfrm>
                    <a:prstGeom prst="rect">
                      <a:avLst/>
                    </a:prstGeom>
                    <a:noFill/>
                    <a:ln w="9525">
                      <a:noFill/>
                      <a:miter lim="800000"/>
                      <a:headEnd/>
                      <a:tailEnd/>
                    </a:ln>
                  </pic:spPr>
                </pic:pic>
              </a:graphicData>
            </a:graphic>
          </wp:inline>
        </w:drawing>
      </w:r>
    </w:p>
    <w:p w:rsidR="00FA0047" w:rsidRPr="001F0139" w:rsidRDefault="00FA0047" w:rsidP="001F0139">
      <w:pPr>
        <w:spacing w:after="0" w:line="240" w:lineRule="auto"/>
        <w:ind w:firstLine="426"/>
        <w:jc w:val="both"/>
        <w:rPr>
          <w:rFonts w:ascii="Times New Roman" w:hAnsi="Times New Roman" w:cs="Times New Roman"/>
          <w:sz w:val="20"/>
          <w:szCs w:val="20"/>
        </w:rPr>
      </w:pPr>
      <w:r w:rsidRPr="001F0139">
        <w:rPr>
          <w:rFonts w:ascii="Times New Roman" w:hAnsi="Times New Roman" w:cs="Times New Roman"/>
          <w:sz w:val="20"/>
          <w:szCs w:val="20"/>
        </w:rPr>
        <w:t>Источник: Муниципальные районы Самарской области. Статистический сборник. – Самара, 2017.</w:t>
      </w:r>
    </w:p>
    <w:p w:rsidR="00FA0047" w:rsidRPr="001F0139" w:rsidRDefault="00FA0047" w:rsidP="001F0139">
      <w:pPr>
        <w:spacing w:after="0" w:line="240" w:lineRule="auto"/>
        <w:ind w:firstLine="709"/>
        <w:jc w:val="center"/>
        <w:rPr>
          <w:rFonts w:ascii="Times New Roman" w:eastAsia="Times New Roman" w:hAnsi="Times New Roman" w:cs="Times New Roman"/>
          <w:b/>
          <w:sz w:val="28"/>
          <w:szCs w:val="28"/>
        </w:rPr>
      </w:pPr>
      <w:r w:rsidRPr="001F0139">
        <w:rPr>
          <w:rFonts w:ascii="Times New Roman" w:eastAsia="Times New Roman" w:hAnsi="Times New Roman" w:cs="Times New Roman"/>
          <w:b/>
          <w:sz w:val="28"/>
          <w:szCs w:val="28"/>
        </w:rPr>
        <w:t>Рисунок 1.4.10 – Доля детей в возрасте 1-7 лет, охваченных услугами дошкольного образования, в общей численности детей 1-7 лет по муниципальным районам Самарской области, (%)</w:t>
      </w:r>
    </w:p>
    <w:p w:rsidR="00FA0047" w:rsidRPr="001F0139" w:rsidRDefault="00FA0047" w:rsidP="001F0139">
      <w:pPr>
        <w:spacing w:after="0" w:line="360" w:lineRule="auto"/>
        <w:ind w:firstLine="709"/>
        <w:jc w:val="center"/>
        <w:rPr>
          <w:rFonts w:ascii="Times New Roman" w:eastAsia="Times New Roman" w:hAnsi="Times New Roman" w:cs="Times New Roman"/>
          <w:b/>
          <w:sz w:val="28"/>
          <w:szCs w:val="28"/>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Динамика доли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осталась на уровне 2015 года (65%). Одна из основных проблем системы образования в последние годы - недостаточное количество специалистов в системе дополнительного образования. Задача на ближайшие 3 года - увеличение охвата детей в возрасте от 5 до 18 лет услугами дополнительного образования до 68%.</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составляет 72,3% (14 место среди муниципальных районов области), что несколько выше, чем в среднем по районам области (рис.1.4.11).</w:t>
      </w:r>
    </w:p>
    <w:p w:rsidR="00FA0047" w:rsidRPr="001F0139" w:rsidRDefault="00FA0047" w:rsidP="001F0139">
      <w:pPr>
        <w:spacing w:after="0" w:line="360" w:lineRule="auto"/>
        <w:ind w:firstLine="709"/>
        <w:jc w:val="center"/>
        <w:rPr>
          <w:rFonts w:ascii="Times New Roman" w:hAnsi="Times New Roman" w:cs="Times New Roman"/>
          <w:sz w:val="28"/>
          <w:szCs w:val="28"/>
          <w:highlight w:val="yellow"/>
        </w:rPr>
      </w:pPr>
      <w:r w:rsidRPr="001F0139">
        <w:rPr>
          <w:rFonts w:ascii="Times New Roman" w:hAnsi="Times New Roman" w:cs="Times New Roman"/>
          <w:noProof/>
          <w:lang w:eastAsia="ru-RU"/>
        </w:rPr>
        <w:drawing>
          <wp:inline distT="0" distB="0" distL="0" distR="0">
            <wp:extent cx="4919345" cy="3962400"/>
            <wp:effectExtent l="19050" t="0" r="0" b="0"/>
            <wp:docPr id="16" name="Диаграмма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6"/>
                    <pic:cNvPicPr>
                      <a:picLocks noChangeArrowheads="1"/>
                    </pic:cNvPicPr>
                  </pic:nvPicPr>
                  <pic:blipFill>
                    <a:blip r:embed="rId28" cstate="print"/>
                    <a:srcRect/>
                    <a:stretch>
                      <a:fillRect/>
                    </a:stretch>
                  </pic:blipFill>
                  <pic:spPr bwMode="auto">
                    <a:xfrm>
                      <a:off x="0" y="0"/>
                      <a:ext cx="4919345" cy="3962400"/>
                    </a:xfrm>
                    <a:prstGeom prst="rect">
                      <a:avLst/>
                    </a:prstGeom>
                    <a:noFill/>
                    <a:ln w="9525">
                      <a:noFill/>
                      <a:miter lim="800000"/>
                      <a:headEnd/>
                      <a:tailEnd/>
                    </a:ln>
                  </pic:spPr>
                </pic:pic>
              </a:graphicData>
            </a:graphic>
          </wp:inline>
        </w:drawing>
      </w:r>
    </w:p>
    <w:p w:rsidR="00FA0047" w:rsidRPr="001F0139" w:rsidRDefault="00FA0047" w:rsidP="001F0139">
      <w:pPr>
        <w:spacing w:after="0" w:line="240" w:lineRule="auto"/>
        <w:ind w:firstLine="426"/>
        <w:jc w:val="both"/>
        <w:rPr>
          <w:rFonts w:ascii="Times New Roman" w:hAnsi="Times New Roman" w:cs="Times New Roman"/>
          <w:sz w:val="20"/>
          <w:szCs w:val="20"/>
        </w:rPr>
      </w:pPr>
      <w:r w:rsidRPr="001F0139">
        <w:rPr>
          <w:rFonts w:ascii="Times New Roman" w:hAnsi="Times New Roman" w:cs="Times New Roman"/>
          <w:sz w:val="20"/>
          <w:szCs w:val="20"/>
        </w:rPr>
        <w:t xml:space="preserve">Источник: Муниципальные районы Самарской области. Статистический сборник. – Самара, 2017. </w:t>
      </w:r>
    </w:p>
    <w:p w:rsidR="00FA0047" w:rsidRPr="001F0139" w:rsidRDefault="00FA0047" w:rsidP="001F0139">
      <w:pPr>
        <w:spacing w:after="0" w:line="240" w:lineRule="auto"/>
        <w:ind w:firstLine="709"/>
        <w:jc w:val="center"/>
        <w:rPr>
          <w:rFonts w:ascii="Times New Roman" w:eastAsia="Times New Roman" w:hAnsi="Times New Roman" w:cs="Times New Roman"/>
          <w:b/>
          <w:sz w:val="28"/>
          <w:szCs w:val="28"/>
        </w:rPr>
      </w:pPr>
      <w:r w:rsidRPr="001F0139">
        <w:rPr>
          <w:rFonts w:ascii="Times New Roman" w:eastAsia="Times New Roman" w:hAnsi="Times New Roman" w:cs="Times New Roman"/>
          <w:b/>
          <w:sz w:val="28"/>
          <w:szCs w:val="28"/>
        </w:rPr>
        <w:t>Рисунок 1.4.11 – Доля детей в возрасте 5-18 лет, получающих услуги по дополнительному образованию по муниципальным районам Самарской области, (%)</w:t>
      </w:r>
    </w:p>
    <w:p w:rsidR="00FA0047" w:rsidRPr="001F0139" w:rsidRDefault="00FA0047" w:rsidP="001F0139">
      <w:pPr>
        <w:spacing w:after="0" w:line="360" w:lineRule="auto"/>
        <w:ind w:firstLine="709"/>
        <w:jc w:val="both"/>
        <w:rPr>
          <w:rFonts w:ascii="Times New Roman" w:hAnsi="Times New Roman" w:cs="Times New Roman"/>
          <w:sz w:val="28"/>
          <w:szCs w:val="28"/>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Все образовательные учреждения района работают по пятидневной учебной неделе в одну смену. В образовательных учреждениях имеется достаточный научно-методический потенциал для реализации основных направлений модернизации образования. Учащиеся и педагоги ежегодно принимают участие в различных конкурсах и неоднократно становились победителями и призерами окружного, областного и даже федерального уровня.</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Повышение учительского потенциала является одним из основных направлений модернизации образования. Хорошей возможностью для личностного роста педагогов является участие в профессиональных конкурсах. В районе сложился костяк талантливых и высокопрофессиональных педагогов, определяющих развитие системы образования, что напрямую влияет на качество знаний учащихся.</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Ежегодно по результатам итоговой аттестации выпускники 9 и 11-х классов района показывают высокие результаты. За пять лет не было ни одного ученика, не получившего документа об образовании. Результат итоговой аттестации 2016-2017 года: по всем предметам единого государственного экзамена баллы наших учащихся выше среднего по северо-восточному управлению образования и науки. Ежегодно увеличивается количество медалистов. К примеру, в 2015 году было 4, в 2016 – 5, в 2017 – 8 медалистов.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образовательных учреждениях муниципального района накоплен опыт работы по разноуровневым стратегиям общего и профессионального образования, формируется гибкая система образовательных программ в соответствии с потребностями рынка труда. В течение 2015-2016 учебного года ГБПОУ «Образовательный центр с. «Камышла» реализовало программы среднего профессионального образования на базе основного общего и среднего общего образования по нижеследующим профессиям: хозяйка (ин) усадьбы; мастер сельскохозяйственного производства; социальный работник; тракторист-машинист сельскохозяйственного производства. Численность обучающихся по состоянию на 1 сентября 2016 года – 198 человек.</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Вопросы обеспечения антитеррористической защищенности образовательных учреждений района находятся на постоянном контроле. Все предписания надзорных служб выполняются. 75% образовательных организаций оборудованы кнопками тревожной сигнализаций, 63% — видеонаблюдением. Это один из высоких показателей в области.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Для организации безопасного подвоза учащихся из других населенных пунктов в базовые школы отрыто 10 школьных маршрутов, по которым курсируют 9 автобусов. Все школьные автобусы оборудованы в соответствии с требованиями Государственного стандарта для перевозки детей и оснащены системами спутниковой навигации ГЛОНАСС.</w:t>
      </w:r>
    </w:p>
    <w:p w:rsidR="00FA0047" w:rsidRPr="001F0139" w:rsidRDefault="00FA0047" w:rsidP="001F0139">
      <w:pPr>
        <w:spacing w:after="0" w:line="360" w:lineRule="auto"/>
        <w:ind w:firstLine="709"/>
        <w:jc w:val="both"/>
        <w:rPr>
          <w:rFonts w:ascii="Times New Roman" w:hAnsi="Times New Roman" w:cs="Times New Roman"/>
          <w:sz w:val="28"/>
          <w:szCs w:val="28"/>
          <w:highlight w:val="yellow"/>
        </w:rPr>
      </w:pPr>
    </w:p>
    <w:p w:rsidR="00FA0047" w:rsidRPr="001F0139" w:rsidRDefault="00FA0047" w:rsidP="001F0139">
      <w:pPr>
        <w:spacing w:after="0" w:line="360" w:lineRule="auto"/>
        <w:contextualSpacing/>
        <w:outlineLvl w:val="2"/>
        <w:rPr>
          <w:rFonts w:ascii="Times New Roman" w:hAnsi="Times New Roman" w:cs="Times New Roman"/>
          <w:b/>
          <w:color w:val="365F91"/>
          <w:sz w:val="28"/>
          <w:szCs w:val="28"/>
        </w:rPr>
      </w:pPr>
      <w:bookmarkStart w:id="18" w:name="_Toc520894832"/>
      <w:r w:rsidRPr="001F0139">
        <w:rPr>
          <w:rFonts w:ascii="Times New Roman" w:hAnsi="Times New Roman" w:cs="Times New Roman"/>
          <w:b/>
          <w:color w:val="365F91"/>
          <w:sz w:val="28"/>
          <w:szCs w:val="28"/>
        </w:rPr>
        <w:t>Здравоохранение</w:t>
      </w:r>
      <w:bookmarkEnd w:id="18"/>
    </w:p>
    <w:p w:rsidR="00FA0047" w:rsidRPr="001F0139" w:rsidRDefault="00FA0047" w:rsidP="001F0139">
      <w:pPr>
        <w:spacing w:after="0" w:line="360" w:lineRule="auto"/>
        <w:ind w:firstLine="709"/>
        <w:jc w:val="both"/>
        <w:rPr>
          <w:rFonts w:ascii="Times New Roman" w:hAnsi="Times New Roman" w:cs="Times New Roman"/>
          <w:sz w:val="28"/>
          <w:szCs w:val="28"/>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На территории муниципального района оказывает медицинские услуги Камышлинская центральная районная больница. На базе учреждения предоставляется амбулаторно-поликлиническая (как плановая, так и экстренная) и круглосуточная – стационарная помощь, созданы выездные бригады врачей специалистов для оказания различных видов медицинской, организационно методической и консультативной помощи.</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структуре ЛПУ в комплексе, присутствует поликлиника, многопрофильный круглосуточный стационар, стационар дневного пребывания, офисы врачей общей практики, отделение скорой медицинской помощи. Поликлиника рассчитана на 160 посещений в день, стационар — на 55 коек, из них 20 коек — медико-социальные. В состав ЦРБ так же входят 2 офиса врача общей практики — в селах Новое Усманово и Старое Ермаково и 13 фельдшерско-акушерских пунктов.</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 поликлинике ведут прием врачи специальностей: терапевт, хирург, онколог, гинеколог, оториноларинголог, педиатр, невролог, нарколог. Прием ведется без предварительной записи, по принципу «всех — в день обращения».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Диагностическую службу представляют клинико-диагностическая (общеклиническая и биохимическая) лаборатория, отделение ультразвуковой диагностики, кабинеты флюорографии, рентгенологический кабинет, службы ЛФК и физиотерапии.</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 xml:space="preserve">В 2011 году поликлиника в Камышле была капитально отремонтирована и соединена теплым переходом со зданием центральной районной больницы, которая также была модернизирована. По областной целевой программе «Модернизация здравоохранения в Самарской области на 2011-2015 годы» был проведен капитальный ремонт кровли поликлинического отделения, получены медицинское оборудование на сумму 4 500 000 рублей, автомашины скорой помощи. Кроме того, были отремонтированы 4 ФАПа, в рамках реализации областной программы модернизации здравоохранения, в селе Никиткино был построен новый модульный ФАП, в настоящее время завершено строительство такого же ФАПа в селе Балыкла. В селе Новое усманово успешно работает стоматологический кабинет.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Число больничных коек в больничных организациях района снижалось и к 2014 году достигло минимума в 40,8 на 10 тыс. населения, после чего наметилась тенденция к увеличению числа больничных коек, в 2016 году оно составило 45,2 на 10 тыс. населения.</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Сокращение числа больничных коек – это общая тенденция практически для всех муниципальных образований региона на пути к оптимизации. Во многом она обусловлена внедрением стационарозамещающих технологий, а также повышением эффективности использования имеющихся коек. По обеспеченности жителей больничными койками в расчете на 10 тыс. населения Камышлинский район находится на 9 месте среди муниципальных районов области (рис. 1.4.12).</w:t>
      </w:r>
    </w:p>
    <w:p w:rsidR="00FA0047" w:rsidRPr="001F0139" w:rsidRDefault="00FA0047" w:rsidP="001F0139">
      <w:pPr>
        <w:spacing w:after="0" w:line="360" w:lineRule="auto"/>
        <w:ind w:firstLine="709"/>
        <w:jc w:val="both"/>
        <w:rPr>
          <w:rFonts w:ascii="Times New Roman" w:hAnsi="Times New Roman" w:cs="Times New Roman"/>
          <w:sz w:val="28"/>
          <w:szCs w:val="28"/>
        </w:rPr>
      </w:pPr>
    </w:p>
    <w:p w:rsidR="00FA0047" w:rsidRPr="001F0139" w:rsidRDefault="00FA0047" w:rsidP="001F0139">
      <w:pPr>
        <w:spacing w:after="0" w:line="360" w:lineRule="auto"/>
        <w:ind w:firstLine="709"/>
        <w:jc w:val="center"/>
        <w:rPr>
          <w:rFonts w:ascii="Times New Roman" w:hAnsi="Times New Roman" w:cs="Times New Roman"/>
          <w:sz w:val="28"/>
          <w:szCs w:val="28"/>
        </w:rPr>
      </w:pPr>
    </w:p>
    <w:p w:rsidR="00FA0047" w:rsidRPr="001F0139" w:rsidRDefault="00A95D87" w:rsidP="001F0139">
      <w:pPr>
        <w:spacing w:after="0" w:line="240" w:lineRule="auto"/>
        <w:ind w:firstLine="426"/>
        <w:jc w:val="center"/>
        <w:rPr>
          <w:rFonts w:ascii="Times New Roman" w:hAnsi="Times New Roman" w:cs="Times New Roman"/>
        </w:rPr>
      </w:pPr>
      <w:r>
        <w:rPr>
          <w:rFonts w:ascii="Times New Roman" w:hAnsi="Times New Roman" w:cs="Times New Roman"/>
          <w:noProof/>
        </w:rPr>
        <w:lastRenderedPageBreak/>
        <w:pict>
          <v:rect id="Прямоугольник 51" o:spid="_x0000_s1029" style="position:absolute;left:0;text-align:left;margin-left:43.5pt;margin-top:-16.8pt;width:403.05pt;height:32.85pt;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" fillcolor="#365f91" strokecolor="#365f91">
            <v:textbox>
              <w:txbxContent>
                <w:p w:rsidR="000B7CD7" w:rsidRDefault="000B7CD7" w:rsidP="00FA0047">
                  <w:pPr>
                    <w:pStyle w:val="a7"/>
                    <w:spacing w:before="0" w:beforeAutospacing="0" w:after="0" w:afterAutospacing="0" w:line="276" w:lineRule="auto"/>
                    <w:jc w:val="center"/>
                    <w:rPr>
                      <w:rFonts w:eastAsia="Calibri"/>
                      <w:b/>
                      <w:bCs/>
                      <w:color w:val="FFFFFF"/>
                      <w:sz w:val="20"/>
                      <w:szCs w:val="20"/>
                    </w:rPr>
                  </w:pPr>
                  <w:r>
                    <w:rPr>
                      <w:rFonts w:ascii="Arial" w:eastAsia="Calibri" w:hAnsi="Arial"/>
                      <w:b/>
                      <w:bCs/>
                      <w:color w:val="FFFFFF"/>
                      <w:sz w:val="20"/>
                      <w:szCs w:val="20"/>
                    </w:rPr>
                    <w:t> </w:t>
                  </w:r>
                  <w:r w:rsidRPr="00CB4D0E">
                    <w:rPr>
                      <w:rFonts w:eastAsia="Calibri"/>
                      <w:b/>
                      <w:bCs/>
                      <w:color w:val="FFFFFF"/>
                      <w:sz w:val="20"/>
                      <w:szCs w:val="20"/>
                    </w:rPr>
                    <w:t xml:space="preserve">Камышлинский район занимает 9 место по количеству больничных коек </w:t>
                  </w:r>
                </w:p>
                <w:p w:rsidR="000B7CD7" w:rsidRPr="00CB4D0E" w:rsidRDefault="000B7CD7" w:rsidP="00FA0047">
                  <w:pPr>
                    <w:pStyle w:val="a7"/>
                    <w:spacing w:before="0" w:beforeAutospacing="0" w:after="0" w:afterAutospacing="0" w:line="276" w:lineRule="auto"/>
                    <w:jc w:val="center"/>
                  </w:pPr>
                  <w:r w:rsidRPr="00CB4D0E">
                    <w:rPr>
                      <w:rFonts w:eastAsia="Calibri"/>
                      <w:b/>
                      <w:bCs/>
                      <w:color w:val="FFFFFF"/>
                      <w:sz w:val="20"/>
                      <w:szCs w:val="20"/>
                    </w:rPr>
                    <w:t>на 10 тыс. чел. населения среди районов Самарской области в 2016 году</w:t>
                  </w:r>
                </w:p>
              </w:txbxContent>
            </v:textbox>
          </v:rect>
        </w:pict>
      </w:r>
      <w:r w:rsidR="00FA0047" w:rsidRPr="001F0139">
        <w:rPr>
          <w:rFonts w:ascii="Times New Roman" w:hAnsi="Times New Roman" w:cs="Times New Roman"/>
          <w:noProof/>
          <w:lang w:eastAsia="ru-RU"/>
        </w:rPr>
        <w:drawing>
          <wp:inline distT="0" distB="0" distL="0" distR="0">
            <wp:extent cx="5132705" cy="3706495"/>
            <wp:effectExtent l="0" t="0" r="0" b="0"/>
            <wp:docPr id="17" name="Диаграмма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A0047" w:rsidRPr="001F0139" w:rsidRDefault="00FA0047" w:rsidP="001F0139">
      <w:pPr>
        <w:spacing w:after="0" w:line="240" w:lineRule="auto"/>
        <w:ind w:firstLine="426"/>
        <w:jc w:val="center"/>
        <w:rPr>
          <w:rFonts w:ascii="Times New Roman" w:hAnsi="Times New Roman" w:cs="Times New Roman"/>
          <w:sz w:val="20"/>
          <w:szCs w:val="20"/>
        </w:rPr>
      </w:pPr>
      <w:r w:rsidRPr="001F0139">
        <w:rPr>
          <w:rFonts w:ascii="Times New Roman" w:hAnsi="Times New Roman" w:cs="Times New Roman"/>
          <w:sz w:val="20"/>
          <w:szCs w:val="20"/>
        </w:rPr>
        <w:t>Источник: Муниципальные районы Самарской области. Статистический сборник. – Самара, 2017.</w:t>
      </w:r>
    </w:p>
    <w:p w:rsidR="00FA0047" w:rsidRPr="001F0139" w:rsidRDefault="00FA0047" w:rsidP="001F0139">
      <w:pPr>
        <w:spacing w:after="0" w:line="240" w:lineRule="auto"/>
        <w:ind w:firstLine="709"/>
        <w:jc w:val="center"/>
        <w:rPr>
          <w:rFonts w:ascii="Times New Roman" w:eastAsia="Times New Roman" w:hAnsi="Times New Roman" w:cs="Times New Roman"/>
          <w:b/>
          <w:sz w:val="28"/>
          <w:szCs w:val="28"/>
        </w:rPr>
      </w:pPr>
      <w:r w:rsidRPr="001F0139">
        <w:rPr>
          <w:rFonts w:ascii="Times New Roman" w:eastAsia="Times New Roman" w:hAnsi="Times New Roman" w:cs="Times New Roman"/>
          <w:b/>
          <w:sz w:val="28"/>
          <w:szCs w:val="28"/>
        </w:rPr>
        <w:t>Рисунок 1.4.12 – Количество больничных коек на 10 тыс. чел. населения в больничных организациях по районам Самарской области на 2016 год</w:t>
      </w:r>
    </w:p>
    <w:p w:rsidR="00FA0047" w:rsidRPr="001F0139" w:rsidRDefault="00FA0047" w:rsidP="001F0139">
      <w:pPr>
        <w:spacing w:after="0" w:line="240" w:lineRule="auto"/>
        <w:ind w:firstLine="709"/>
        <w:jc w:val="center"/>
        <w:rPr>
          <w:rFonts w:ascii="Times New Roman" w:hAnsi="Times New Roman" w:cs="Times New Roman"/>
          <w:b/>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Доступность и качество медицинских услуг в значительной мере связано с численностью и степенью профессионализма медицинского персонала. Число врачей в Камышлинском районе по сравнению с 2012 годом увеличилось на 7,4 %, а показатель числа врачей в расчете на 10 тыс. человек населения составил 20,3, что несколько ниже среднего уровня по муниципальным районам области (рис.1.4.13). По данному показателю район занимает 23 место среди муниципальных районов.</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Проблема нехватки и старение квалифицированных кадров требует особого внимания. Необходимы врачи основных специальностей. С 2012 года в Самарской области действует программа «Земский доктор». По областной программе «Земский доктор» медицину Камышлинского района усилили три врача. Коллектив центральной районной больницы пополнился врачом клинической лабораторной диагностики, терапевтом и педиатром в поликлинике. </w:t>
      </w:r>
    </w:p>
    <w:p w:rsidR="00FA0047" w:rsidRPr="001F0139" w:rsidRDefault="00FA0047" w:rsidP="001F0139">
      <w:pPr>
        <w:spacing w:after="0" w:line="360" w:lineRule="auto"/>
        <w:ind w:firstLine="709"/>
        <w:jc w:val="center"/>
        <w:rPr>
          <w:rFonts w:ascii="Times New Roman" w:hAnsi="Times New Roman" w:cs="Times New Roman"/>
          <w:sz w:val="28"/>
          <w:szCs w:val="28"/>
        </w:rPr>
      </w:pPr>
    </w:p>
    <w:p w:rsidR="00FA0047" w:rsidRPr="001F0139" w:rsidRDefault="00A95D87" w:rsidP="001F0139">
      <w:pPr>
        <w:spacing w:after="0" w:line="240" w:lineRule="auto"/>
        <w:jc w:val="center"/>
        <w:rPr>
          <w:rFonts w:ascii="Times New Roman" w:hAnsi="Times New Roman" w:cs="Times New Roman"/>
          <w:b/>
          <w:bCs/>
        </w:rPr>
      </w:pPr>
      <w:r>
        <w:rPr>
          <w:rFonts w:ascii="Times New Roman" w:hAnsi="Times New Roman" w:cs="Times New Roman"/>
          <w:noProof/>
        </w:rPr>
        <w:lastRenderedPageBreak/>
        <w:pict>
          <v:rect id="Прямоугольник 60" o:spid="_x0000_s1030" style="position:absolute;left:0;text-align:left;margin-left:33.1pt;margin-top:-.35pt;width:395.2pt;height:33.4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" fillcolor="#365f91" strokecolor="#365f91">
            <v:textbox>
              <w:txbxContent>
                <w:p w:rsidR="000B7CD7" w:rsidRPr="00536F99" w:rsidRDefault="000B7CD7" w:rsidP="00FA0047">
                  <w:pPr>
                    <w:pStyle w:val="a7"/>
                    <w:spacing w:before="0" w:beforeAutospacing="0" w:after="0" w:afterAutospacing="0" w:line="276" w:lineRule="auto"/>
                    <w:jc w:val="center"/>
                    <w:rPr>
                      <w:sz w:val="20"/>
                      <w:szCs w:val="20"/>
                    </w:rPr>
                  </w:pPr>
                  <w:r w:rsidRPr="00536F99">
                    <w:rPr>
                      <w:rFonts w:eastAsia="Calibri"/>
                      <w:b/>
                      <w:bCs/>
                      <w:color w:val="FFFFFF"/>
                      <w:sz w:val="20"/>
                      <w:szCs w:val="20"/>
                    </w:rPr>
                    <w:t>Камышлинский район занимает 23 место по количеству врачей на 10 тыс. человек населения среди районов Самарской области</w:t>
                  </w:r>
                </w:p>
              </w:txbxContent>
            </v:textbox>
          </v:rect>
        </w:pict>
      </w:r>
      <w:r w:rsidR="00FA0047" w:rsidRPr="001F0139">
        <w:rPr>
          <w:rFonts w:ascii="Times New Roman" w:hAnsi="Times New Roman" w:cs="Times New Roman"/>
          <w:noProof/>
          <w:lang w:eastAsia="ru-RU"/>
        </w:rPr>
        <w:drawing>
          <wp:inline distT="0" distB="0" distL="0" distR="0">
            <wp:extent cx="4989195" cy="2882265"/>
            <wp:effectExtent l="6096" t="6096" r="3429" b="7239"/>
            <wp:docPr id="18"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A0047" w:rsidRPr="001F0139" w:rsidRDefault="00FA0047"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sz w:val="20"/>
          <w:szCs w:val="20"/>
        </w:rPr>
        <w:t>Источник: Муниципальные районы Самарской области. Статистический сборник. – Самара, 2017.</w:t>
      </w:r>
    </w:p>
    <w:p w:rsidR="00FA0047" w:rsidRPr="001F0139" w:rsidRDefault="00FA0047" w:rsidP="001F0139">
      <w:pPr>
        <w:spacing w:after="0" w:line="240" w:lineRule="auto"/>
        <w:jc w:val="center"/>
        <w:rPr>
          <w:rFonts w:ascii="Times New Roman" w:eastAsia="Times New Roman" w:hAnsi="Times New Roman" w:cs="Times New Roman"/>
          <w:b/>
          <w:sz w:val="28"/>
          <w:szCs w:val="28"/>
        </w:rPr>
      </w:pPr>
      <w:r w:rsidRPr="001F0139">
        <w:rPr>
          <w:rFonts w:ascii="Times New Roman" w:eastAsia="Times New Roman" w:hAnsi="Times New Roman" w:cs="Times New Roman"/>
          <w:b/>
          <w:sz w:val="28"/>
          <w:szCs w:val="28"/>
        </w:rPr>
        <w:t>Рисунок 1.4.13 – Численность врачей в муниципальных районах Самарской области на 10 тыс. населения в 2016 году</w:t>
      </w:r>
    </w:p>
    <w:p w:rsidR="00FA0047" w:rsidRPr="001F0139" w:rsidRDefault="00FA0047" w:rsidP="001F0139">
      <w:pPr>
        <w:spacing w:after="0" w:line="240" w:lineRule="auto"/>
        <w:jc w:val="center"/>
        <w:rPr>
          <w:rFonts w:ascii="Times New Roman" w:hAnsi="Times New Roman" w:cs="Times New Roman"/>
          <w:b/>
          <w:bCs/>
          <w:sz w:val="10"/>
          <w:szCs w:val="10"/>
        </w:rPr>
      </w:pPr>
    </w:p>
    <w:p w:rsidR="00FA0047" w:rsidRPr="001F0139" w:rsidRDefault="00A95D87" w:rsidP="001F0139">
      <w:pPr>
        <w:spacing w:after="0" w:line="360" w:lineRule="auto"/>
        <w:ind w:firstLine="709"/>
        <w:jc w:val="both"/>
        <w:rPr>
          <w:rFonts w:ascii="Times New Roman" w:hAnsi="Times New Roman" w:cs="Times New Roman"/>
          <w:sz w:val="28"/>
          <w:szCs w:val="28"/>
        </w:rPr>
      </w:pPr>
      <w:r>
        <w:rPr>
          <w:rFonts w:ascii="Times New Roman" w:hAnsi="Times New Roman" w:cs="Times New Roman"/>
          <w:noProof/>
        </w:rPr>
        <w:pict>
          <v:rect id="_x0000_s1044" style="position:absolute;left:0;text-align:left;margin-left:58.45pt;margin-top:115.6pt;width:351.4pt;height:29.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" fillcolor="#365f91" strokecolor="#365f91">
            <v:textbox>
              <w:txbxContent>
                <w:p w:rsidR="000B7CD7" w:rsidRPr="00BC1922" w:rsidRDefault="000B7CD7" w:rsidP="00FA0047">
                  <w:pPr>
                    <w:spacing w:after="0" w:line="240" w:lineRule="auto"/>
                    <w:jc w:val="center"/>
                  </w:pPr>
                  <w:r>
                    <w:rPr>
                      <w:rFonts w:ascii="Times New Roman" w:hAnsi="Times New Roman"/>
                      <w:b/>
                      <w:bCs/>
                      <w:color w:val="FFFFFF"/>
                      <w:sz w:val="20"/>
                      <w:szCs w:val="20"/>
                    </w:rPr>
                    <w:t>Средняя о</w:t>
                  </w:r>
                  <w:r w:rsidRPr="00BC1922">
                    <w:rPr>
                      <w:rFonts w:ascii="Times New Roman" w:hAnsi="Times New Roman"/>
                      <w:b/>
                      <w:bCs/>
                      <w:color w:val="FFFFFF"/>
                      <w:sz w:val="20"/>
                      <w:szCs w:val="20"/>
                    </w:rPr>
                    <w:t>беспеченность населения врачами и медперсоналом среди районов</w:t>
                  </w:r>
                  <w:r>
                    <w:rPr>
                      <w:rFonts w:ascii="Times New Roman" w:hAnsi="Times New Roman"/>
                      <w:b/>
                      <w:bCs/>
                      <w:color w:val="FFFFFF"/>
                      <w:sz w:val="20"/>
                      <w:szCs w:val="20"/>
                    </w:rPr>
                    <w:t xml:space="preserve"> области</w:t>
                  </w:r>
                </w:p>
              </w:txbxContent>
            </v:textbox>
          </v:rect>
        </w:pict>
      </w:r>
      <w:r w:rsidR="00FA0047" w:rsidRPr="001F0139">
        <w:rPr>
          <w:rFonts w:ascii="Times New Roman" w:hAnsi="Times New Roman" w:cs="Times New Roman"/>
          <w:sz w:val="28"/>
          <w:szCs w:val="28"/>
        </w:rPr>
        <w:t>Ситуация по обеспеченности средним медицинским персоналом тоже остается сложной. Уровень остается несколько ниже среднего по муниципальным районам уровня. По данному показателю район занимает 16 место среди муниципальных районов, что составляет 73,3 на 10 тыс. человек населения по данным на 2015 год (рис.1.4.14).</w:t>
      </w:r>
    </w:p>
    <w:p w:rsidR="00FA0047" w:rsidRPr="001F0139" w:rsidRDefault="00FA0047" w:rsidP="001F0139">
      <w:pPr>
        <w:spacing w:after="0"/>
        <w:ind w:firstLine="567"/>
        <w:jc w:val="both"/>
        <w:rPr>
          <w:rFonts w:ascii="Times New Roman" w:hAnsi="Times New Roman" w:cs="Times New Roman"/>
          <w:sz w:val="28"/>
          <w:szCs w:val="28"/>
        </w:rPr>
      </w:pPr>
    </w:p>
    <w:p w:rsidR="00FA0047" w:rsidRPr="001F0139" w:rsidRDefault="00FA0047" w:rsidP="001F0139">
      <w:pPr>
        <w:spacing w:after="0" w:line="240" w:lineRule="auto"/>
        <w:jc w:val="center"/>
        <w:rPr>
          <w:rFonts w:ascii="Times New Roman" w:hAnsi="Times New Roman" w:cs="Times New Roman"/>
          <w:sz w:val="28"/>
          <w:szCs w:val="28"/>
          <w:lang w:val="en-US"/>
        </w:rPr>
      </w:pPr>
      <w:r w:rsidRPr="001F0139">
        <w:rPr>
          <w:rFonts w:ascii="Times New Roman" w:hAnsi="Times New Roman" w:cs="Times New Roman"/>
          <w:noProof/>
          <w:sz w:val="28"/>
          <w:szCs w:val="28"/>
          <w:lang w:eastAsia="ru-RU"/>
        </w:rPr>
        <w:drawing>
          <wp:inline distT="0" distB="0" distL="0" distR="0">
            <wp:extent cx="4464707" cy="3041904"/>
            <wp:effectExtent l="19050" t="0" r="12043" b="6096"/>
            <wp:docPr id="19"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A0047" w:rsidRPr="001F0139" w:rsidRDefault="00FA0047"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sz w:val="20"/>
          <w:szCs w:val="20"/>
        </w:rPr>
        <w:t xml:space="preserve">Источники: ФСГС: Социально-экономические показатели муниципальных районов </w:t>
      </w:r>
    </w:p>
    <w:p w:rsidR="00FA0047" w:rsidRPr="001F0139" w:rsidRDefault="00FA0047"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sz w:val="20"/>
          <w:szCs w:val="20"/>
        </w:rPr>
        <w:t xml:space="preserve">и </w:t>
      </w:r>
      <w:r w:rsidR="001F0139">
        <w:rPr>
          <w:rFonts w:ascii="Times New Roman" w:hAnsi="Times New Roman" w:cs="Times New Roman"/>
          <w:sz w:val="20"/>
          <w:szCs w:val="20"/>
        </w:rPr>
        <w:t>район</w:t>
      </w:r>
      <w:r w:rsidRPr="001F0139">
        <w:rPr>
          <w:rFonts w:ascii="Times New Roman" w:hAnsi="Times New Roman" w:cs="Times New Roman"/>
          <w:sz w:val="20"/>
          <w:szCs w:val="20"/>
        </w:rPr>
        <w:t>ских округов Самарской области, 2017.</w:t>
      </w:r>
    </w:p>
    <w:p w:rsidR="00FA0047" w:rsidRPr="001F0139" w:rsidRDefault="00FA0047" w:rsidP="001F0139">
      <w:pPr>
        <w:spacing w:after="0" w:line="240" w:lineRule="auto"/>
        <w:jc w:val="center"/>
        <w:rPr>
          <w:rFonts w:ascii="Times New Roman" w:eastAsia="Times New Roman" w:hAnsi="Times New Roman" w:cs="Times New Roman"/>
          <w:b/>
          <w:sz w:val="28"/>
          <w:szCs w:val="28"/>
        </w:rPr>
      </w:pPr>
      <w:r w:rsidRPr="001F0139">
        <w:rPr>
          <w:rFonts w:ascii="Times New Roman" w:eastAsia="Times New Roman" w:hAnsi="Times New Roman" w:cs="Times New Roman"/>
          <w:b/>
          <w:sz w:val="28"/>
          <w:szCs w:val="28"/>
        </w:rPr>
        <w:t>Рисунок 1.4.14 – Обеспеченность населения средним медицинским персоналом и врачами в муниципальных районах, 2016 г.</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 xml:space="preserve">В структуре общей заболеваемости в муниципальном районе Камышлинский первое место занимают болезни органов дыхания, на втором месте находятся болезни мочеполовой системы. </w:t>
      </w:r>
    </w:p>
    <w:p w:rsidR="00FA0047"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Среди детей (0 – 14 лет) в структуре общей заболеваемости первое место занимают болезни органов дыхания. У подростков (15 – 17 лет) в муниципальном районе Камышлинский на первом месте также заболевания органов дыхания, а у взрослого населения (18 лет и старше) на первое место выходят заболевания мочеполовой системы.</w:t>
      </w:r>
    </w:p>
    <w:p w:rsidR="00AE2DFC" w:rsidRPr="001F0139" w:rsidRDefault="00AE2DFC" w:rsidP="001F0139">
      <w:pPr>
        <w:spacing w:after="0" w:line="360" w:lineRule="auto"/>
        <w:ind w:firstLine="709"/>
        <w:jc w:val="both"/>
        <w:rPr>
          <w:rFonts w:ascii="Times New Roman" w:hAnsi="Times New Roman" w:cs="Times New Roman"/>
          <w:sz w:val="28"/>
          <w:szCs w:val="28"/>
        </w:rPr>
      </w:pPr>
    </w:p>
    <w:p w:rsidR="00FA0047" w:rsidRPr="001F0139" w:rsidRDefault="00FA0047" w:rsidP="001F0139">
      <w:pPr>
        <w:spacing w:after="0" w:line="360" w:lineRule="auto"/>
        <w:contextualSpacing/>
        <w:outlineLvl w:val="2"/>
        <w:rPr>
          <w:rFonts w:ascii="Times New Roman" w:hAnsi="Times New Roman" w:cs="Times New Roman"/>
          <w:b/>
          <w:color w:val="365F91"/>
          <w:sz w:val="28"/>
          <w:szCs w:val="28"/>
        </w:rPr>
      </w:pPr>
      <w:bookmarkStart w:id="19" w:name="_Toc520894833"/>
      <w:r w:rsidRPr="001F0139">
        <w:rPr>
          <w:rFonts w:ascii="Times New Roman" w:hAnsi="Times New Roman" w:cs="Times New Roman"/>
          <w:b/>
          <w:color w:val="365F91"/>
          <w:sz w:val="28"/>
          <w:szCs w:val="28"/>
        </w:rPr>
        <w:t>Физическая культура и спорт</w:t>
      </w:r>
      <w:bookmarkEnd w:id="19"/>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Спортивная инфраструктура Камышлинского района представлена 37 спортивными сооружениями, в том числе 10 спортивных залов, 1 тренажерный зал. Однако, в районе нет бассейна, стадиона, </w:t>
      </w:r>
      <w:r w:rsidRPr="001F0139">
        <w:rPr>
          <w:rFonts w:ascii="Times New Roman" w:hAnsi="Times New Roman" w:cs="Times New Roman"/>
          <w:color w:val="242424"/>
          <w:sz w:val="28"/>
          <w:szCs w:val="28"/>
        </w:rPr>
        <w:t>универсального спортивного комплекса</w:t>
      </w:r>
      <w:r w:rsidRPr="001F0139">
        <w:rPr>
          <w:rFonts w:ascii="Times New Roman" w:hAnsi="Times New Roman" w:cs="Times New Roman"/>
          <w:sz w:val="28"/>
          <w:szCs w:val="28"/>
        </w:rPr>
        <w:t xml:space="preserve">. Как для детей, так и для взрослого населения создаются условия для занятий физической культурой и спортом. В их распоряжении спортивные залы в центре дополнительного образования СП ДЮСШ «Фортуна» и тренажерный зал «Батыр», а также в спортивные залы учебных заведений в вечернее время.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Уровень фактической обеспеченности объектами физической культуры и спорта жителей Камышлинского района в 2016 году составил 60% .</w:t>
      </w:r>
    </w:p>
    <w:p w:rsidR="00FA0047" w:rsidRPr="001F0139" w:rsidRDefault="00FA0047" w:rsidP="001F0139">
      <w:pPr>
        <w:spacing w:after="0" w:line="360" w:lineRule="auto"/>
        <w:ind w:firstLine="709"/>
        <w:jc w:val="both"/>
        <w:rPr>
          <w:rFonts w:ascii="Times New Roman" w:hAnsi="Times New Roman" w:cs="Times New Roman"/>
          <w:color w:val="242424"/>
          <w:sz w:val="28"/>
          <w:szCs w:val="28"/>
        </w:rPr>
      </w:pPr>
      <w:r w:rsidRPr="001F0139">
        <w:rPr>
          <w:rFonts w:ascii="Times New Roman" w:hAnsi="Times New Roman" w:cs="Times New Roman"/>
          <w:color w:val="242424"/>
          <w:sz w:val="28"/>
          <w:szCs w:val="28"/>
        </w:rPr>
        <w:t xml:space="preserve">Доля населения, регулярно занимающегося спортом, в последние годы увеличилась и достигла 33,7% в 2016 году, что близко к среднему значению по муниципальным районам – 34,7% (рис.1.4.16). </w:t>
      </w:r>
    </w:p>
    <w:p w:rsidR="00FA0047" w:rsidRPr="001F0139" w:rsidRDefault="00FA0047" w:rsidP="001F0139">
      <w:pPr>
        <w:spacing w:after="0" w:line="360" w:lineRule="auto"/>
        <w:ind w:firstLine="709"/>
        <w:jc w:val="both"/>
        <w:rPr>
          <w:rFonts w:ascii="Times New Roman" w:hAnsi="Times New Roman" w:cs="Times New Roman"/>
          <w:color w:val="242424"/>
          <w:sz w:val="28"/>
          <w:szCs w:val="28"/>
        </w:rPr>
      </w:pPr>
      <w:r w:rsidRPr="001F0139">
        <w:rPr>
          <w:rFonts w:ascii="Times New Roman" w:hAnsi="Times New Roman" w:cs="Times New Roman"/>
          <w:color w:val="242424"/>
          <w:sz w:val="28"/>
          <w:szCs w:val="28"/>
        </w:rPr>
        <w:t xml:space="preserve">Рост количества занимающихся физической культурой по сравнению с предыдущими годами произошел в основном за счет увеличения количества спортивно-массовых мероприятий, проводимых в районе после введения в эксплуатацию новых универсальных спортивных площадок. </w:t>
      </w:r>
    </w:p>
    <w:p w:rsidR="00FA0047" w:rsidRPr="001F0139" w:rsidRDefault="00FA0047" w:rsidP="001F0139">
      <w:pPr>
        <w:spacing w:after="0" w:line="360" w:lineRule="auto"/>
        <w:ind w:firstLine="709"/>
        <w:jc w:val="both"/>
        <w:rPr>
          <w:rFonts w:ascii="Times New Roman" w:hAnsi="Times New Roman" w:cs="Times New Roman"/>
          <w:sz w:val="28"/>
          <w:szCs w:val="28"/>
        </w:rPr>
      </w:pPr>
    </w:p>
    <w:p w:rsidR="00FA0047" w:rsidRPr="001F0139" w:rsidRDefault="00FA0047"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noProof/>
          <w:lang w:eastAsia="ru-RU"/>
        </w:rPr>
        <w:lastRenderedPageBreak/>
        <w:drawing>
          <wp:inline distT="0" distB="0" distL="0" distR="0">
            <wp:extent cx="4328160" cy="4212590"/>
            <wp:effectExtent l="0" t="0" r="0" b="0"/>
            <wp:docPr id="262" name="Объект 2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A0047" w:rsidRPr="001F0139" w:rsidRDefault="00FA0047" w:rsidP="001F0139">
      <w:pPr>
        <w:spacing w:after="0" w:line="240" w:lineRule="auto"/>
        <w:jc w:val="center"/>
        <w:rPr>
          <w:rFonts w:ascii="Times New Roman" w:hAnsi="Times New Roman" w:cs="Times New Roman"/>
          <w:color w:val="242424"/>
          <w:sz w:val="28"/>
          <w:szCs w:val="28"/>
        </w:rPr>
      </w:pPr>
      <w:r w:rsidRPr="001F0139">
        <w:rPr>
          <w:rFonts w:ascii="Times New Roman" w:eastAsia="Times New Roman" w:hAnsi="Times New Roman" w:cs="Times New Roman"/>
          <w:b/>
          <w:sz w:val="28"/>
          <w:szCs w:val="28"/>
        </w:rPr>
        <w:t>Рисунок 1.4.15 – Обеспеченность населения муниципальных районов Самарской области спортивными сооружениями (в % от норматива)</w:t>
      </w:r>
    </w:p>
    <w:p w:rsidR="00FA0047" w:rsidRPr="001F0139" w:rsidRDefault="00FA0047" w:rsidP="001F0139">
      <w:pPr>
        <w:spacing w:after="0" w:line="240" w:lineRule="auto"/>
        <w:jc w:val="both"/>
        <w:rPr>
          <w:rFonts w:ascii="Times New Roman" w:hAnsi="Times New Roman" w:cs="Times New Roman"/>
          <w:sz w:val="20"/>
          <w:szCs w:val="20"/>
        </w:rPr>
      </w:pPr>
    </w:p>
    <w:p w:rsidR="00FA0047" w:rsidRPr="001F0139" w:rsidRDefault="00A95D87" w:rsidP="001F0139">
      <w:pPr>
        <w:spacing w:after="0" w:line="240" w:lineRule="auto"/>
        <w:jc w:val="center"/>
        <w:rPr>
          <w:rFonts w:ascii="Times New Roman" w:hAnsi="Times New Roman" w:cs="Times New Roman"/>
          <w:sz w:val="20"/>
          <w:szCs w:val="20"/>
        </w:rPr>
      </w:pPr>
      <w:r>
        <w:rPr>
          <w:rFonts w:ascii="Times New Roman" w:hAnsi="Times New Roman" w:cs="Times New Roman"/>
          <w:noProof/>
        </w:rPr>
        <w:pict>
          <v:rect id="Прямоугольник 50" o:spid="_x0000_s1031" style="position:absolute;left:0;text-align:left;margin-left:39.6pt;margin-top:-4.25pt;width:389.7pt;height:34.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" fillcolor="#365f91" strokecolor="#365f91">
            <v:textbox>
              <w:txbxContent>
                <w:p w:rsidR="000B7CD7" w:rsidRPr="008B6C71" w:rsidRDefault="000B7CD7" w:rsidP="00FA0047">
                  <w:pPr>
                    <w:spacing w:after="0" w:line="240" w:lineRule="auto"/>
                    <w:jc w:val="center"/>
                    <w:rPr>
                      <w:rFonts w:ascii="Times New Roman" w:hAnsi="Times New Roman"/>
                      <w:b/>
                      <w:bCs/>
                      <w:color w:val="FFFFFF"/>
                      <w:sz w:val="20"/>
                      <w:szCs w:val="20"/>
                    </w:rPr>
                  </w:pPr>
                  <w:r w:rsidRPr="008B6C71">
                    <w:rPr>
                      <w:rFonts w:ascii="Times New Roman" w:hAnsi="Times New Roman"/>
                      <w:b/>
                      <w:bCs/>
                      <w:color w:val="FFFFFF"/>
                      <w:sz w:val="20"/>
                      <w:szCs w:val="20"/>
                    </w:rPr>
                    <w:t>Камышлинский район занимает 20 место по доле населения, занимающейся спортом, среди районов Самарской области в 2016 году</w:t>
                  </w:r>
                </w:p>
              </w:txbxContent>
            </v:textbox>
          </v:rect>
        </w:pict>
      </w:r>
      <w:r w:rsidR="00FA0047" w:rsidRPr="001F0139">
        <w:rPr>
          <w:rFonts w:ascii="Times New Roman" w:hAnsi="Times New Roman" w:cs="Times New Roman"/>
          <w:noProof/>
          <w:lang w:eastAsia="ru-RU"/>
        </w:rPr>
        <w:drawing>
          <wp:inline distT="0" distB="0" distL="0" distR="0">
            <wp:extent cx="4944110" cy="4004945"/>
            <wp:effectExtent l="0" t="0" r="0" b="0"/>
            <wp:docPr id="21" name="Диаграмма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A0047" w:rsidRPr="001F0139" w:rsidRDefault="00FA0047" w:rsidP="001F0139">
      <w:pPr>
        <w:spacing w:after="0" w:line="240" w:lineRule="auto"/>
        <w:jc w:val="center"/>
        <w:rPr>
          <w:rFonts w:ascii="Times New Roman" w:eastAsia="Times New Roman" w:hAnsi="Times New Roman" w:cs="Times New Roman"/>
          <w:b/>
          <w:sz w:val="28"/>
          <w:szCs w:val="28"/>
        </w:rPr>
      </w:pPr>
      <w:r w:rsidRPr="001F0139">
        <w:rPr>
          <w:rFonts w:ascii="Times New Roman" w:eastAsia="Times New Roman" w:hAnsi="Times New Roman" w:cs="Times New Roman"/>
          <w:b/>
          <w:sz w:val="28"/>
          <w:szCs w:val="28"/>
        </w:rPr>
        <w:t>Рисунок 1.4.16 – Доля населения муниципальных районов Самарской области, регулярно занимающегося спортом (% от норматива, 2016 г.)</w:t>
      </w:r>
    </w:p>
    <w:p w:rsidR="00FA0047" w:rsidRPr="001F0139" w:rsidRDefault="00FA0047" w:rsidP="001F0139">
      <w:pPr>
        <w:spacing w:after="0" w:line="360" w:lineRule="auto"/>
        <w:ind w:firstLine="709"/>
        <w:jc w:val="both"/>
        <w:rPr>
          <w:rFonts w:ascii="Times New Roman" w:hAnsi="Times New Roman" w:cs="Times New Roman"/>
          <w:color w:val="242424"/>
          <w:sz w:val="28"/>
          <w:szCs w:val="28"/>
        </w:rPr>
      </w:pPr>
      <w:r w:rsidRPr="001F0139">
        <w:rPr>
          <w:rFonts w:ascii="Times New Roman" w:hAnsi="Times New Roman" w:cs="Times New Roman"/>
          <w:color w:val="242424"/>
          <w:sz w:val="28"/>
          <w:szCs w:val="28"/>
        </w:rPr>
        <w:lastRenderedPageBreak/>
        <w:t xml:space="preserve">Доля обучающихся, систематически занимающихся физической культурой и спортом, в общей численности обучающихся в 2016 году (42,18%) уменьшилась по сравнению с тем же показателем за 2013-2015 годы. </w:t>
      </w:r>
    </w:p>
    <w:p w:rsidR="00FA0047" w:rsidRPr="001F0139" w:rsidRDefault="00FA0047" w:rsidP="001F0139">
      <w:pPr>
        <w:spacing w:after="0" w:line="360" w:lineRule="auto"/>
        <w:ind w:firstLine="709"/>
        <w:jc w:val="center"/>
        <w:rPr>
          <w:rFonts w:ascii="Times New Roman" w:hAnsi="Times New Roman" w:cs="Times New Roman"/>
          <w:b/>
          <w:sz w:val="24"/>
          <w:szCs w:val="24"/>
        </w:rPr>
      </w:pPr>
    </w:p>
    <w:p w:rsidR="00FA0047" w:rsidRPr="001F0139" w:rsidRDefault="00FA0047" w:rsidP="001F0139">
      <w:pPr>
        <w:spacing w:after="0" w:line="360" w:lineRule="auto"/>
        <w:contextualSpacing/>
        <w:outlineLvl w:val="2"/>
        <w:rPr>
          <w:rFonts w:ascii="Times New Roman" w:hAnsi="Times New Roman" w:cs="Times New Roman"/>
          <w:b/>
          <w:color w:val="365F91"/>
          <w:sz w:val="28"/>
          <w:szCs w:val="28"/>
        </w:rPr>
      </w:pPr>
      <w:bookmarkStart w:id="20" w:name="_Toc520894834"/>
      <w:r w:rsidRPr="001F0139">
        <w:rPr>
          <w:rFonts w:ascii="Times New Roman" w:hAnsi="Times New Roman" w:cs="Times New Roman"/>
          <w:b/>
          <w:color w:val="365F91"/>
          <w:sz w:val="28"/>
          <w:szCs w:val="28"/>
        </w:rPr>
        <w:t>Культура</w:t>
      </w:r>
      <w:bookmarkEnd w:id="20"/>
    </w:p>
    <w:p w:rsidR="00FA0047" w:rsidRPr="001F0139" w:rsidRDefault="00FA0047" w:rsidP="001F0139">
      <w:pPr>
        <w:spacing w:after="0" w:line="360" w:lineRule="auto"/>
        <w:ind w:firstLine="709"/>
        <w:jc w:val="both"/>
        <w:rPr>
          <w:rFonts w:ascii="Times New Roman" w:hAnsi="Times New Roman" w:cs="Times New Roman"/>
          <w:sz w:val="28"/>
          <w:szCs w:val="28"/>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Книжный фонд муниципальных общедоступных библиотек Камышлинского района составляет 141 355 экземпляров, число библиотек – 13, число читателей – 5 724 человек.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муниципальном районе на 2016 год число существует 1 учреждение культурно-досугового типа. Число структурных подразделений (филиалов) учреждений культурно-досугового типа –14 (рис.1.4.17).</w:t>
      </w:r>
    </w:p>
    <w:p w:rsidR="00FA0047" w:rsidRPr="001F0139" w:rsidRDefault="00A95D87" w:rsidP="001F0139">
      <w:pPr>
        <w:spacing w:after="0" w:line="360" w:lineRule="auto"/>
        <w:ind w:firstLine="567"/>
        <w:jc w:val="both"/>
        <w:rPr>
          <w:rFonts w:ascii="Times New Roman" w:hAnsi="Times New Roman" w:cs="Times New Roman"/>
        </w:rPr>
      </w:pPr>
      <w:r>
        <w:rPr>
          <w:rFonts w:ascii="Times New Roman" w:hAnsi="Times New Roman" w:cs="Times New Roman"/>
          <w:noProof/>
        </w:rPr>
        <w:pict>
          <v:rect id="_x0000_s1045" style="position:absolute;left:0;text-align:left;margin-left:29.85pt;margin-top:2pt;width:407.75pt;height:36.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" fillcolor="#365f91" strokecolor="#365f91">
            <v:textbox>
              <w:txbxContent>
                <w:p w:rsidR="000B7CD7" w:rsidRDefault="000B7CD7" w:rsidP="00FA0047">
                  <w:pPr>
                    <w:spacing w:after="0" w:line="240" w:lineRule="auto"/>
                    <w:jc w:val="center"/>
                    <w:rPr>
                      <w:rFonts w:ascii="Times New Roman" w:hAnsi="Times New Roman"/>
                      <w:b/>
                      <w:bCs/>
                      <w:color w:val="FFFFFF"/>
                      <w:sz w:val="20"/>
                      <w:szCs w:val="20"/>
                    </w:rPr>
                  </w:pPr>
                  <w:r w:rsidRPr="008B6C71">
                    <w:rPr>
                      <w:rFonts w:ascii="Times New Roman" w:hAnsi="Times New Roman"/>
                      <w:b/>
                      <w:bCs/>
                      <w:color w:val="FFFFFF"/>
                      <w:sz w:val="20"/>
                      <w:szCs w:val="20"/>
                    </w:rPr>
                    <w:t xml:space="preserve">Обеспеченность населения Камышлинского района учреждениями </w:t>
                  </w:r>
                </w:p>
                <w:p w:rsidR="000B7CD7" w:rsidRPr="008F0D53" w:rsidRDefault="000B7CD7" w:rsidP="00FA0047">
                  <w:pPr>
                    <w:spacing w:after="0" w:line="240" w:lineRule="auto"/>
                    <w:jc w:val="center"/>
                    <w:rPr>
                      <w:color w:val="FFFFFF"/>
                      <w:sz w:val="20"/>
                      <w:szCs w:val="20"/>
                    </w:rPr>
                  </w:pPr>
                  <w:r w:rsidRPr="008B6C71">
                    <w:rPr>
                      <w:rFonts w:ascii="Times New Roman" w:hAnsi="Times New Roman"/>
                      <w:b/>
                      <w:bCs/>
                      <w:color w:val="FFFFFF"/>
                      <w:sz w:val="20"/>
                      <w:szCs w:val="20"/>
                    </w:rPr>
                    <w:t>культурно-досугового тип</w:t>
                  </w:r>
                  <w:r>
                    <w:rPr>
                      <w:rFonts w:ascii="Times New Roman" w:hAnsi="Times New Roman"/>
                      <w:b/>
                      <w:bCs/>
                      <w:color w:val="FFFFFF"/>
                      <w:sz w:val="20"/>
                      <w:szCs w:val="20"/>
                    </w:rPr>
                    <w:t>а</w:t>
                  </w:r>
                  <w:r w:rsidRPr="008B6C71">
                    <w:rPr>
                      <w:rFonts w:ascii="Times New Roman" w:hAnsi="Times New Roman"/>
                      <w:b/>
                      <w:bCs/>
                      <w:color w:val="FFFFFF"/>
                      <w:sz w:val="20"/>
                      <w:szCs w:val="20"/>
                    </w:rPr>
                    <w:t xml:space="preserve"> низкая</w:t>
                  </w:r>
                </w:p>
              </w:txbxContent>
            </v:textbox>
          </v:rect>
        </w:pict>
      </w:r>
    </w:p>
    <w:p w:rsidR="00FA0047" w:rsidRPr="001F0139" w:rsidRDefault="00FA0047" w:rsidP="001F0139">
      <w:pPr>
        <w:spacing w:after="0" w:line="240" w:lineRule="auto"/>
        <w:jc w:val="center"/>
        <w:rPr>
          <w:rFonts w:ascii="Times New Roman" w:hAnsi="Times New Roman" w:cs="Times New Roman"/>
          <w:sz w:val="28"/>
          <w:szCs w:val="28"/>
        </w:rPr>
      </w:pPr>
      <w:bookmarkStart w:id="21" w:name="_MON_1595449726"/>
      <w:bookmarkEnd w:id="21"/>
      <w:r w:rsidRPr="001F0139">
        <w:rPr>
          <w:rFonts w:ascii="Times New Roman" w:hAnsi="Times New Roman" w:cs="Times New Roman"/>
          <w:noProof/>
          <w:lang w:eastAsia="ru-RU"/>
        </w:rPr>
        <w:drawing>
          <wp:inline distT="0" distB="0" distL="0" distR="0">
            <wp:extent cx="5181600" cy="3257550"/>
            <wp:effectExtent l="0" t="0" r="0" b="0"/>
            <wp:docPr id="1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A0047" w:rsidRPr="001F0139" w:rsidRDefault="00FA0047"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sz w:val="20"/>
          <w:szCs w:val="20"/>
        </w:rPr>
        <w:t>Источник: Муниципальные районы Самарской области. Статистический сборник. – Самара, 2017.</w:t>
      </w:r>
    </w:p>
    <w:p w:rsidR="00FA0047" w:rsidRPr="001F0139" w:rsidRDefault="00FA0047" w:rsidP="001F0139">
      <w:pPr>
        <w:spacing w:after="0" w:line="240" w:lineRule="auto"/>
        <w:jc w:val="center"/>
        <w:rPr>
          <w:rFonts w:ascii="Times New Roman" w:hAnsi="Times New Roman" w:cs="Times New Roman"/>
          <w:b/>
          <w:sz w:val="24"/>
          <w:szCs w:val="24"/>
        </w:rPr>
      </w:pPr>
      <w:r w:rsidRPr="001F0139">
        <w:rPr>
          <w:rFonts w:ascii="Times New Roman" w:eastAsia="Times New Roman" w:hAnsi="Times New Roman" w:cs="Times New Roman"/>
          <w:b/>
          <w:sz w:val="28"/>
          <w:szCs w:val="28"/>
        </w:rPr>
        <w:t>Рисунок 1.4.17 – Число учреждений культурно-досугового типа и общедоступных библиотек по муниципальным районам Самарской области (ед., на конец 2016 года)</w:t>
      </w:r>
    </w:p>
    <w:p w:rsidR="00FA0047" w:rsidRPr="001F0139" w:rsidRDefault="00FA0047" w:rsidP="001F0139">
      <w:pPr>
        <w:spacing w:after="0" w:line="240" w:lineRule="auto"/>
        <w:jc w:val="center"/>
        <w:rPr>
          <w:rFonts w:ascii="Times New Roman" w:hAnsi="Times New Roman" w:cs="Times New Roman"/>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Уровень фактической обеспеченности учреждениями культуры от нормативной потребности в 2016 году определен на уровне 67%.</w:t>
      </w:r>
      <w:r w:rsidRPr="001F0139">
        <w:rPr>
          <w:rFonts w:ascii="Times New Roman" w:hAnsi="Times New Roman" w:cs="Times New Roman"/>
          <w:sz w:val="28"/>
          <w:szCs w:val="28"/>
        </w:rPr>
        <w:br w:type="page"/>
      </w:r>
    </w:p>
    <w:p w:rsidR="00FA0047" w:rsidRPr="001F0139" w:rsidRDefault="00FA0047" w:rsidP="001F0139">
      <w:pPr>
        <w:suppressAutoHyphens/>
        <w:spacing w:after="0" w:line="360" w:lineRule="auto"/>
        <w:ind w:firstLine="709"/>
        <w:jc w:val="both"/>
        <w:rPr>
          <w:rFonts w:ascii="Times New Roman" w:hAnsi="Times New Roman" w:cs="Times New Roman"/>
          <w:bCs/>
          <w:kern w:val="1"/>
          <w:sz w:val="28"/>
          <w:szCs w:val="28"/>
          <w:lang w:eastAsia="hi-IN" w:bidi="hi-IN"/>
        </w:rPr>
      </w:pPr>
      <w:r w:rsidRPr="001F0139">
        <w:rPr>
          <w:rFonts w:ascii="Times New Roman" w:hAnsi="Times New Roman" w:cs="Times New Roman"/>
          <w:kern w:val="1"/>
          <w:sz w:val="28"/>
          <w:szCs w:val="28"/>
          <w:lang w:eastAsia="hi-IN" w:bidi="hi-IN"/>
        </w:rPr>
        <w:lastRenderedPageBreak/>
        <w:t>Доля муниципальных учреждений культуры, здания которых находятся в аварийном состоянии или требуют капитального ремонта, в общем количестве муниципа</w:t>
      </w:r>
      <w:r w:rsidR="006B23FC">
        <w:rPr>
          <w:rFonts w:ascii="Times New Roman" w:hAnsi="Times New Roman" w:cs="Times New Roman"/>
          <w:kern w:val="1"/>
          <w:sz w:val="28"/>
          <w:szCs w:val="28"/>
          <w:lang w:eastAsia="hi-IN" w:bidi="hi-IN"/>
        </w:rPr>
        <w:t>льных учреждений культуры в 2017</w:t>
      </w:r>
      <w:r w:rsidRPr="001F0139">
        <w:rPr>
          <w:rFonts w:ascii="Times New Roman" w:hAnsi="Times New Roman" w:cs="Times New Roman"/>
          <w:kern w:val="1"/>
          <w:sz w:val="28"/>
          <w:szCs w:val="28"/>
          <w:lang w:eastAsia="hi-IN" w:bidi="hi-IN"/>
        </w:rPr>
        <w:t xml:space="preserve"> году составила 41,2%, что соответствует уровню 201</w:t>
      </w:r>
      <w:r w:rsidR="006B23FC">
        <w:rPr>
          <w:rFonts w:ascii="Times New Roman" w:hAnsi="Times New Roman" w:cs="Times New Roman"/>
          <w:kern w:val="1"/>
          <w:sz w:val="28"/>
          <w:szCs w:val="28"/>
          <w:lang w:eastAsia="hi-IN" w:bidi="hi-IN"/>
        </w:rPr>
        <w:t>6</w:t>
      </w:r>
      <w:r w:rsidRPr="001F0139">
        <w:rPr>
          <w:rFonts w:ascii="Times New Roman" w:hAnsi="Times New Roman" w:cs="Times New Roman"/>
          <w:kern w:val="1"/>
          <w:sz w:val="28"/>
          <w:szCs w:val="28"/>
          <w:lang w:eastAsia="hi-IN" w:bidi="hi-IN"/>
        </w:rPr>
        <w:t xml:space="preserve"> года.</w:t>
      </w:r>
      <w:r w:rsidRPr="001F0139">
        <w:rPr>
          <w:rFonts w:ascii="Times New Roman" w:hAnsi="Times New Roman" w:cs="Times New Roman"/>
          <w:bCs/>
          <w:kern w:val="1"/>
          <w:sz w:val="28"/>
          <w:szCs w:val="28"/>
          <w:lang w:eastAsia="hi-IN" w:bidi="hi-IN"/>
        </w:rPr>
        <w:t xml:space="preserve"> Проведение капитального ремонта требуется в 7 зданиях из 17.</w:t>
      </w:r>
    </w:p>
    <w:p w:rsidR="00FA0047" w:rsidRPr="001F0139" w:rsidRDefault="00FA0047" w:rsidP="001F0139">
      <w:pPr>
        <w:suppressAutoHyphens/>
        <w:spacing w:after="0" w:line="360" w:lineRule="auto"/>
        <w:ind w:firstLine="709"/>
        <w:jc w:val="both"/>
        <w:rPr>
          <w:rFonts w:ascii="Times New Roman" w:hAnsi="Times New Roman" w:cs="Times New Roman"/>
          <w:bCs/>
          <w:kern w:val="1"/>
          <w:sz w:val="28"/>
          <w:szCs w:val="28"/>
          <w:lang w:eastAsia="hi-IN" w:bidi="hi-IN"/>
        </w:rPr>
      </w:pPr>
      <w:r w:rsidRPr="001F0139">
        <w:rPr>
          <w:rFonts w:ascii="Times New Roman" w:hAnsi="Times New Roman" w:cs="Times New Roman"/>
          <w:bCs/>
          <w:kern w:val="1"/>
          <w:sz w:val="28"/>
          <w:szCs w:val="28"/>
          <w:lang w:eastAsia="hi-IN" w:bidi="hi-IN"/>
        </w:rPr>
        <w:t>На 201</w:t>
      </w:r>
      <w:r w:rsidR="006B23FC">
        <w:rPr>
          <w:rFonts w:ascii="Times New Roman" w:hAnsi="Times New Roman" w:cs="Times New Roman"/>
          <w:bCs/>
          <w:kern w:val="1"/>
          <w:sz w:val="28"/>
          <w:szCs w:val="28"/>
          <w:lang w:eastAsia="hi-IN" w:bidi="hi-IN"/>
        </w:rPr>
        <w:t>9</w:t>
      </w:r>
      <w:r w:rsidR="008B60D7">
        <w:rPr>
          <w:rFonts w:ascii="Times New Roman" w:hAnsi="Times New Roman" w:cs="Times New Roman"/>
          <w:bCs/>
          <w:kern w:val="1"/>
          <w:sz w:val="28"/>
          <w:szCs w:val="28"/>
          <w:lang w:eastAsia="hi-IN" w:bidi="hi-IN"/>
        </w:rPr>
        <w:t>-2020</w:t>
      </w:r>
      <w:r w:rsidRPr="001F0139">
        <w:rPr>
          <w:rFonts w:ascii="Times New Roman" w:hAnsi="Times New Roman" w:cs="Times New Roman"/>
          <w:bCs/>
          <w:kern w:val="1"/>
          <w:sz w:val="28"/>
          <w:szCs w:val="28"/>
          <w:lang w:eastAsia="hi-IN" w:bidi="hi-IN"/>
        </w:rPr>
        <w:t xml:space="preserve"> год</w:t>
      </w:r>
      <w:r w:rsidR="008B60D7">
        <w:rPr>
          <w:rFonts w:ascii="Times New Roman" w:hAnsi="Times New Roman" w:cs="Times New Roman"/>
          <w:bCs/>
          <w:kern w:val="1"/>
          <w:sz w:val="28"/>
          <w:szCs w:val="28"/>
          <w:lang w:eastAsia="hi-IN" w:bidi="hi-IN"/>
        </w:rPr>
        <w:t>ы</w:t>
      </w:r>
      <w:r w:rsidRPr="001F0139">
        <w:rPr>
          <w:rFonts w:ascii="Times New Roman" w:hAnsi="Times New Roman" w:cs="Times New Roman"/>
          <w:bCs/>
          <w:kern w:val="1"/>
          <w:sz w:val="28"/>
          <w:szCs w:val="28"/>
          <w:lang w:eastAsia="hi-IN" w:bidi="hi-IN"/>
        </w:rPr>
        <w:t xml:space="preserve"> </w:t>
      </w:r>
      <w:r w:rsidR="008B60D7">
        <w:rPr>
          <w:rFonts w:ascii="Times New Roman" w:hAnsi="Times New Roman" w:cs="Georgia"/>
          <w:bCs/>
          <w:sz w:val="28"/>
          <w:szCs w:val="28"/>
        </w:rPr>
        <w:t>планируется проведение капитального ремонта зданий учреждений культуры посредством участия в федеральных и областных программах</w:t>
      </w:r>
      <w:r w:rsidRPr="001F0139">
        <w:rPr>
          <w:rFonts w:ascii="Times New Roman" w:hAnsi="Times New Roman" w:cs="Times New Roman"/>
          <w:bCs/>
          <w:kern w:val="1"/>
          <w:sz w:val="28"/>
          <w:szCs w:val="28"/>
          <w:lang w:eastAsia="hi-IN" w:bidi="hi-IN"/>
        </w:rPr>
        <w:t xml:space="preserve"> </w:t>
      </w:r>
      <w:r w:rsidR="008B60D7">
        <w:rPr>
          <w:rFonts w:ascii="Times New Roman" w:hAnsi="Times New Roman" w:cs="Times New Roman"/>
          <w:bCs/>
          <w:kern w:val="1"/>
          <w:sz w:val="28"/>
          <w:szCs w:val="28"/>
          <w:lang w:eastAsia="hi-IN" w:bidi="hi-IN"/>
        </w:rPr>
        <w:t>по р</w:t>
      </w:r>
      <w:r w:rsidRPr="001F0139">
        <w:rPr>
          <w:rFonts w:ascii="Times New Roman" w:hAnsi="Times New Roman" w:cs="Times New Roman"/>
          <w:bCs/>
          <w:kern w:val="1"/>
          <w:sz w:val="28"/>
          <w:szCs w:val="28"/>
          <w:lang w:eastAsia="hi-IN" w:bidi="hi-IN"/>
        </w:rPr>
        <w:t>азвити</w:t>
      </w:r>
      <w:r w:rsidR="008B60D7">
        <w:rPr>
          <w:rFonts w:ascii="Times New Roman" w:hAnsi="Times New Roman" w:cs="Times New Roman"/>
          <w:bCs/>
          <w:kern w:val="1"/>
          <w:sz w:val="28"/>
          <w:szCs w:val="28"/>
          <w:lang w:eastAsia="hi-IN" w:bidi="hi-IN"/>
        </w:rPr>
        <w:t>ю</w:t>
      </w:r>
      <w:r w:rsidRPr="001F0139">
        <w:rPr>
          <w:rFonts w:ascii="Times New Roman" w:hAnsi="Times New Roman" w:cs="Times New Roman"/>
          <w:bCs/>
          <w:kern w:val="1"/>
          <w:sz w:val="28"/>
          <w:szCs w:val="28"/>
          <w:lang w:eastAsia="hi-IN" w:bidi="hi-IN"/>
        </w:rPr>
        <w:t xml:space="preserve"> и укреплени</w:t>
      </w:r>
      <w:r w:rsidR="008B60D7">
        <w:rPr>
          <w:rFonts w:ascii="Times New Roman" w:hAnsi="Times New Roman" w:cs="Times New Roman"/>
          <w:bCs/>
          <w:kern w:val="1"/>
          <w:sz w:val="28"/>
          <w:szCs w:val="28"/>
          <w:lang w:eastAsia="hi-IN" w:bidi="hi-IN"/>
        </w:rPr>
        <w:t>ю</w:t>
      </w:r>
      <w:r w:rsidRPr="001F0139">
        <w:rPr>
          <w:rFonts w:ascii="Times New Roman" w:hAnsi="Times New Roman" w:cs="Times New Roman"/>
          <w:bCs/>
          <w:kern w:val="1"/>
          <w:sz w:val="28"/>
          <w:szCs w:val="28"/>
          <w:lang w:eastAsia="hi-IN" w:bidi="hi-IN"/>
        </w:rPr>
        <w:t xml:space="preserve"> материально-технической базы учреждений культуры.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На территории Камышлинского района реализуется муниципальная целевая программа «Развитие и укрепление материально-технической базы учреждений культуры, осуществляющих свою деятельность в сфере культуры на территории муниципального района Камышлинский Самарской области на 2011-2018гг». В 2013 году в рамках мероприятий указанной целевой программы установлена автоматическая пожарная сигнализация и система оповещения людей о пожаре во всех учреждениях культуры. В районе отремонтированы и оснащены Дома культуры и клубы сел Камышла, Никиткино, Новое и Старое Усманово, Балыкла, Старое Ермаково. Оснащены одеждой сцены и новым современным светотехническим и звуковым оборудованием Никиткинский, Староусмановский, Новоусмановский, Староермаковский сельские Дома культуры.</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По сравнению с 2012 годом, количество участников культурно-массовых мероприятий, проводимых муниципальными учреждениями района, на сегодня достигает 101%, доля детей, привлекаемых к участию в творческих мероприятиях, в общем числе детей 120%.</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Более 350 человек занимаются в 15 творческих коллективах и объединениях. Хореографические коллективы: «Серпантин», «Созвездие» из села Камышла, «Нежность» села Новое Усманово; вокальные коллективы: «Журавушка» села Степановка, «Сударушки» села Камышла, «Россиянка» села Русский Байтуган и многие другие.</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Ежегодно работники культуры и творческие коллективы района выступают на Губернском фестивале самодеятельного народного творчества «Рожденные в сердце России», поражая искренностью и чистотой мелодий, талантом, творческим мастерством, высоким профессионализмом и превосходными вокальными данными.</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По всему Камышлинскому району структурное подразделение «Созвездие», или Дом творчества детей Камышлинской школы, насчитывает 650 воспитанников и 35 педагогов дополнительного образования. Только за 2016-2017 учебный год обучающиеся данного подразделения удостоены дипломов самых различных уровней</w:t>
      </w:r>
      <w:r w:rsidR="00313604">
        <w:rPr>
          <w:rFonts w:ascii="Times New Roman" w:hAnsi="Times New Roman" w:cs="Times New Roman"/>
          <w:sz w:val="28"/>
          <w:szCs w:val="28"/>
        </w:rPr>
        <w:t>:</w:t>
      </w:r>
      <w:r w:rsidRPr="001F0139">
        <w:rPr>
          <w:rFonts w:ascii="Times New Roman" w:hAnsi="Times New Roman" w:cs="Times New Roman"/>
          <w:sz w:val="28"/>
          <w:szCs w:val="28"/>
        </w:rPr>
        <w:t xml:space="preserve"> от муниципального до всероссийского. Шесть творческих работ педагогов участвовали на межрегиональных научно-практических конференциях.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целях развития социальной сферы и инфраструктуры Камышлинского района в последующие годы планируется провести ремонтные работы здания Дома культуры села Новое Ермаково, которое включено в областную программу и находится в листе ожидания для финансирования в 2018–2020 годах. Требуют больших финансовых вложений клубы сел Русский и Татарский Байтуган, поселка Чулпан.</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 2016 году в селе Татарский Байтуган был открыт музейный комплекс автора татарского букваря «Алифба» Салея Вагизова, которое стало возможным благодаря инициативе граждан, организационной и финансовой поддержке районной и поселенческой администраций, а также Президента республики Татарстан Рустама Минниханова и Всемирного конгресса татар.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Главной культурной достопримечательностью райцентра является татарский народный театр, который уже более 90 лет радует земляков своим творчеством. Непременным участником национальных праздников являются ансамбли «Корнай» и «Ак каен».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качестве нового объекта культурного наследия можно рассмотреть усадьбу в селе Неклюдово дворянина Степана Неклюдова (родственника писателя Сергея Аксакова), получившего эти земли за заслуги в русско-</w:t>
      </w:r>
      <w:r w:rsidRPr="001F0139">
        <w:rPr>
          <w:rFonts w:ascii="Times New Roman" w:hAnsi="Times New Roman" w:cs="Times New Roman"/>
          <w:sz w:val="28"/>
          <w:szCs w:val="28"/>
        </w:rPr>
        <w:lastRenderedPageBreak/>
        <w:t xml:space="preserve">турецкой войне. Неклюдово и быт его помещиков описаны в книге Аксакова «Детские годы Багрова-внука». После революции от усадьбы остался практически один остов. Ее восстанавливают волонтеры. </w:t>
      </w:r>
    </w:p>
    <w:p w:rsidR="00FA0047" w:rsidRPr="001F0139" w:rsidRDefault="00FA0047" w:rsidP="001F0139">
      <w:pPr>
        <w:suppressAutoHyphens/>
        <w:spacing w:after="0" w:line="360" w:lineRule="auto"/>
        <w:ind w:firstLine="709"/>
        <w:jc w:val="both"/>
        <w:rPr>
          <w:rFonts w:ascii="Times New Roman" w:hAnsi="Times New Roman" w:cs="Times New Roman"/>
          <w:bCs/>
          <w:kern w:val="1"/>
          <w:sz w:val="28"/>
          <w:szCs w:val="28"/>
          <w:lang w:eastAsia="hi-IN" w:bidi="hi-IN"/>
        </w:rPr>
      </w:pPr>
      <w:r w:rsidRPr="001F0139">
        <w:rPr>
          <w:rFonts w:ascii="Times New Roman" w:hAnsi="Times New Roman" w:cs="Times New Roman"/>
          <w:kern w:val="1"/>
          <w:sz w:val="28"/>
          <w:szCs w:val="28"/>
          <w:lang w:eastAsia="hi-IN" w:bidi="hi-IN"/>
        </w:rPr>
        <w:t>Район представлен малым числом организаций местной прессы («Камышлинские известия») и СМИ (телеканал «НУР», вещание 3 часа в неделю).</w:t>
      </w:r>
    </w:p>
    <w:p w:rsidR="00FA0047" w:rsidRPr="001F0139" w:rsidRDefault="00FA0047" w:rsidP="001F0139">
      <w:pPr>
        <w:spacing w:after="0" w:line="360" w:lineRule="auto"/>
        <w:ind w:firstLine="709"/>
        <w:contextualSpacing/>
        <w:jc w:val="both"/>
        <w:rPr>
          <w:rFonts w:ascii="Times New Roman" w:hAnsi="Times New Roman" w:cs="Times New Roman"/>
          <w:b/>
          <w:color w:val="0070C0"/>
          <w:sz w:val="28"/>
          <w:szCs w:val="28"/>
        </w:rPr>
      </w:pPr>
    </w:p>
    <w:p w:rsidR="00FA0047" w:rsidRPr="001F0139" w:rsidRDefault="00FA0047" w:rsidP="001F0139">
      <w:pPr>
        <w:spacing w:after="0" w:line="360" w:lineRule="auto"/>
        <w:contextualSpacing/>
        <w:jc w:val="both"/>
        <w:outlineLvl w:val="2"/>
        <w:rPr>
          <w:rFonts w:ascii="Times New Roman" w:hAnsi="Times New Roman" w:cs="Times New Roman"/>
          <w:b/>
          <w:color w:val="365F91"/>
          <w:sz w:val="28"/>
          <w:szCs w:val="28"/>
        </w:rPr>
      </w:pPr>
      <w:bookmarkStart w:id="22" w:name="_Toc520894835"/>
      <w:r w:rsidRPr="001F0139">
        <w:rPr>
          <w:rFonts w:ascii="Times New Roman" w:hAnsi="Times New Roman" w:cs="Times New Roman"/>
          <w:b/>
          <w:color w:val="365F91"/>
          <w:sz w:val="28"/>
          <w:szCs w:val="28"/>
        </w:rPr>
        <w:t>Молодежная политика. Некоммерческий сектор и гражданские инициативы</w:t>
      </w:r>
      <w:bookmarkEnd w:id="22"/>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Перспективы социально-экономического развития муниципального района во многом зависят от потенциала молодежи, от её включенности в происходящие изменения и от степени её интегрированности в социальную структуру общества. Молодое поколение выступает источником трудового, творческого и предпринимательского потенциала Камышлинского муниципального района, «двигателем» современных инновационных идей и нововведений, и в связи с этим администрация района уделяет особое внимание реализации соответствующей молодежной политики.</w:t>
      </w:r>
    </w:p>
    <w:p w:rsidR="00FA0047" w:rsidRPr="001F0139" w:rsidRDefault="00FA0047" w:rsidP="001F0139">
      <w:pPr>
        <w:spacing w:after="0" w:line="240" w:lineRule="auto"/>
        <w:jc w:val="center"/>
        <w:rPr>
          <w:rFonts w:ascii="Times New Roman" w:hAnsi="Times New Roman" w:cs="Times New Roman"/>
          <w:sz w:val="28"/>
          <w:szCs w:val="28"/>
        </w:rPr>
      </w:pPr>
      <w:r w:rsidRPr="001F0139">
        <w:rPr>
          <w:rFonts w:ascii="Times New Roman" w:hAnsi="Times New Roman" w:cs="Times New Roman"/>
          <w:noProof/>
          <w:lang w:eastAsia="ru-RU"/>
        </w:rPr>
        <w:drawing>
          <wp:inline distT="0" distB="0" distL="0" distR="0">
            <wp:extent cx="4974590" cy="2194560"/>
            <wp:effectExtent l="0" t="0" r="0" b="0"/>
            <wp:docPr id="555" name="Объект 5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A0047" w:rsidRPr="001F0139" w:rsidRDefault="00FA0047" w:rsidP="001F0139">
      <w:pPr>
        <w:spacing w:after="0" w:line="240" w:lineRule="auto"/>
        <w:jc w:val="center"/>
        <w:rPr>
          <w:rFonts w:ascii="Times New Roman" w:hAnsi="Times New Roman" w:cs="Times New Roman"/>
          <w:b/>
          <w:sz w:val="24"/>
          <w:szCs w:val="24"/>
        </w:rPr>
      </w:pPr>
      <w:r w:rsidRPr="001F0139">
        <w:rPr>
          <w:rFonts w:ascii="Times New Roman" w:eastAsia="Times New Roman" w:hAnsi="Times New Roman" w:cs="Times New Roman"/>
          <w:b/>
          <w:sz w:val="28"/>
          <w:szCs w:val="28"/>
        </w:rPr>
        <w:t>Рисунок 1.4.18 – Доля населения Камышлинского района Самарской области по возрастным категориям от общей численности,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Численность молодых людей (в возрасте от 14 до 29 лет), проживающих на территории Камышлинского района на 1 января 2017 года, составляет более 2 тыс. человек. Удельный вес молодежи в общей численности населения района составляет 19%, но совершенно очевидно, что </w:t>
      </w:r>
      <w:r w:rsidRPr="001F0139">
        <w:rPr>
          <w:rFonts w:ascii="Times New Roman" w:hAnsi="Times New Roman" w:cs="Times New Roman"/>
          <w:sz w:val="28"/>
          <w:szCs w:val="28"/>
        </w:rPr>
        <w:lastRenderedPageBreak/>
        <w:t>молодёжь является реальным, социально значимым стратегическим ресурсом развития района (рис.1.4.18).</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Главная проблема – отток людей из-за отсутствия работы, доступного жилья, качества жизни, досуга и культурно-развлекательной инфраструктуры. Молодежь и среднее поколение не видит перспектив на будущее.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Основной задачей реализации молодёжной политики является создание условий для развития и реализации способностей и потенциала молодого человека не только в своих собственных интересах, но и в интересах общества и государства.</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Ключевыми направлениями деятельности администрации района является обеспечение сбалансированного решения молодёжных проблем в сфере трудоустройства, социально-правовой, социально-психологической помощи, организации досуга, гражданско-патриотического воспитания и развития деятельности детских и молодёжных объединений. Основной целью является создание возможностей для успешной социализации, самореализации, проявления и развития инновационного потенциала молодых людей, вне зависимости от их социального статуса и уровня дохода их семей.</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Для достижения данной цели предусматривается решение таких задач, как: максимальное вовлечение молодёжи в разработку и реализацию инновационных идей, в активную общественную жизнь; создание условий для патриотического и духовно-нравственного воспитания, интеллектуального, творческого и физического развития молодёжи, реализации её научно-технического и творческого потенциала; поддержка деятельности молодёжных и детских общественных объединений; поддержка молодых семей и повышение материального благополучия молодых родителей; формирование у молодого поколения здорового образа жизни, профилактика безнадзорности, подростковой преступности, наркомании и </w:t>
      </w:r>
      <w:r w:rsidRPr="001F0139">
        <w:rPr>
          <w:rFonts w:ascii="Times New Roman" w:hAnsi="Times New Roman" w:cs="Times New Roman"/>
          <w:sz w:val="28"/>
          <w:szCs w:val="28"/>
        </w:rPr>
        <w:lastRenderedPageBreak/>
        <w:t>алкоголизма; поддержка и реабилитация молодёжи, находящейся в трудной жизненной ситуации.</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Решением Собрания представителей муниципального района Камышлинский Самарской области от 12.11.2009 года создан Молодежный Совет при Собрании представителей муниципального района Камышлинский Самарской области. Его цели: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объединение и привлечение молодёжи к активному участию в жизнедеятельности района, обеспечение эффективного сотрудничества представителей молодёжи с органами власти по реализации молодёжной политики;</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изучение проблем молодежи в муниципальном районе Камышлинский в целях своевременного реагирования на них органов местного самоуправления;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содействие деятельности Собрания представителей муниципального района Камышлинский в области регулирования прав и законных интересов молодежи, внесение рекомендаций по решению проблем молодежи в муниципальном районе Камышлинский.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Цели создания группы Молодежного Совета Вконтакте (https://vk.com/ms_kamishlinskii):</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информировать о событиях, новостях, мероприятиях, проводимых для молодежи Камышлинского района;</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собрать и объединить между собой активную часть молодежи общей целью развития молодежной политики муниципального района Камышлинский;</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ориентировать молодежь на позитивные модели построения своей жизни;</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организовать объединения молодежи по общим интересам и полезным увлечениям;</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активно, продуктивно участвовать в общественной жизни района;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 реализовывать интересные, перспективные и реально полезные молодежные программы;</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принимать на рассмотрение все осмысленные предложения по улучшению жизни на «Земле Камышлинской»;</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способствовать личной и профессиональной реализации каждого молодого жителя района с активной жизненной позицией;</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налаживать контакты для сотрудничества и взаимопомощи с молодежными структурами всех районов Самарской области для информационного и прочих видов сотрудничества вы можете связаться с руководителями группы или непосредственно с Председателем Молодежного совета.</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Администрация района ориентирована на развитие молодёжного самоуправления и самоорганизации, вовлечение представителей нового поколения в проекты, которые помогут им найти свое место в жизни. В частности, на поддержание молодых людей, обладающих проектным мышлением, ориентированным на долгосрочные инвестиции действует муниципальная программа «Молодежь муниципального района Камышлинский», направленная на духовно-нравственное и патриотическое развитие молодого поколения. В районе за последние годы создано несколько молодежных военно-патриотических клубов, и берет обороты волонтерское движение. Молодежь района в 2017 году активно принимала участие в акции «Где родился, там и пригодился». Учитель истории Байтуганской школы Ильфат Бадретдинов стал финалистом акции.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Камышлинском районе работают 6 Профсоюзных организаций и 5  Общественных советов; 3 социально ориентированных некоммерческих организации; 15 объектов религиозных организаций, из которых: 13 – Регионального духовного управления мусульман Самарской области, 2 – Самарской и Сызранской епархии Русской Православной Церкви.</w:t>
      </w:r>
    </w:p>
    <w:p w:rsidR="00C4516F" w:rsidRDefault="00EA0A35" w:rsidP="001F01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FA0047" w:rsidRPr="001F0139">
        <w:rPr>
          <w:rFonts w:ascii="Times New Roman" w:hAnsi="Times New Roman" w:cs="Times New Roman"/>
          <w:sz w:val="28"/>
          <w:szCs w:val="28"/>
        </w:rPr>
        <w:t xml:space="preserve"> 2017 год</w:t>
      </w:r>
      <w:r w:rsidR="00E91E3A">
        <w:rPr>
          <w:rFonts w:ascii="Times New Roman" w:hAnsi="Times New Roman" w:cs="Times New Roman"/>
          <w:sz w:val="28"/>
          <w:szCs w:val="28"/>
        </w:rPr>
        <w:t>а</w:t>
      </w:r>
      <w:r w:rsidR="00FA0047" w:rsidRPr="001F0139">
        <w:rPr>
          <w:rFonts w:ascii="Times New Roman" w:hAnsi="Times New Roman" w:cs="Times New Roman"/>
          <w:sz w:val="28"/>
          <w:szCs w:val="28"/>
        </w:rPr>
        <w:t xml:space="preserve"> на территории района реализуется приоритетный федеральный проект «Формирование комфортной </w:t>
      </w:r>
      <w:r w:rsidR="00313604">
        <w:rPr>
          <w:rFonts w:ascii="Times New Roman" w:hAnsi="Times New Roman" w:cs="Times New Roman"/>
          <w:sz w:val="28"/>
          <w:szCs w:val="28"/>
        </w:rPr>
        <w:t>город</w:t>
      </w:r>
      <w:r w:rsidR="00FA0047" w:rsidRPr="001F0139">
        <w:rPr>
          <w:rFonts w:ascii="Times New Roman" w:hAnsi="Times New Roman" w:cs="Times New Roman"/>
          <w:sz w:val="28"/>
          <w:szCs w:val="28"/>
        </w:rPr>
        <w:t xml:space="preserve">ской среды».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Дополнительно мотивировать сельчан к совместному выполнению работ по решению вопросов местного значения призван областной проект поддержки местных инициатив граждан, благодаря которо</w:t>
      </w:r>
      <w:r w:rsidR="00D71FEA">
        <w:rPr>
          <w:rFonts w:ascii="Times New Roman" w:hAnsi="Times New Roman" w:cs="Times New Roman"/>
          <w:sz w:val="28"/>
          <w:szCs w:val="28"/>
        </w:rPr>
        <w:t>му</w:t>
      </w:r>
      <w:r w:rsidRPr="001F0139">
        <w:rPr>
          <w:rFonts w:ascii="Times New Roman" w:hAnsi="Times New Roman" w:cs="Times New Roman"/>
          <w:sz w:val="28"/>
          <w:szCs w:val="28"/>
        </w:rPr>
        <w:t xml:space="preserve"> все сельские поселения района смогут улучшить уровень благоустройства. Участие в нем — отличная возможность для населения решать именно те проблемы, которые являются наиболее важными для их территорий.</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Проект поддержки местных инициатив осуществляется за счет областного бюджета через предоставление субсидии на реализацию конкретного проекта муниципалитета на условиях софинансирования из местного бюджета, средств населения и организаций. На сегодня все шесть сельских поселений района подали заявки на участие в конкурсном отборе программы по поддержке и реализации местных инициатив. Это проекты, инициированные гражданами, по самым различным направлениям.</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Государственная программа Самарской области «Поддержка инициатив населения муниципальных образований» на 2017-2025 годы разработана правительством Самарской области, ее цель — вовлечение жителей муниципальных образований в развитие их территорий, увеличение средств муниципалитетов, расходуемых на решение проблем, которые волнуют граждан. Поддержка общественных проектов из регионального бюджета будет осуществляться на конкурсной основе. Минимальная доля самофинансирования за счет средств граждан и организаций – 7%. Также обязательно софинансирование за счет средств местного бюджета. Оно, кстати, станет одним из критериев отбора. Инициировать проекты могут общественные советы, органы самоуправления, непосредственно сами граждане.</w:t>
      </w:r>
    </w:p>
    <w:p w:rsidR="00FA0047" w:rsidRPr="001F0139" w:rsidRDefault="00FA0047" w:rsidP="001F0139">
      <w:pPr>
        <w:spacing w:after="0" w:line="360" w:lineRule="auto"/>
        <w:ind w:firstLine="709"/>
        <w:jc w:val="both"/>
        <w:rPr>
          <w:rFonts w:ascii="Times New Roman" w:hAnsi="Times New Roman" w:cs="Times New Roman"/>
          <w:sz w:val="28"/>
          <w:szCs w:val="28"/>
        </w:rPr>
      </w:pPr>
    </w:p>
    <w:p w:rsidR="00FA0047" w:rsidRPr="001F0139" w:rsidRDefault="00FA0047" w:rsidP="001F0139">
      <w:pPr>
        <w:spacing w:after="0" w:line="360" w:lineRule="auto"/>
        <w:contextualSpacing/>
        <w:jc w:val="both"/>
        <w:outlineLvl w:val="2"/>
        <w:rPr>
          <w:rFonts w:ascii="Times New Roman" w:hAnsi="Times New Roman" w:cs="Times New Roman"/>
          <w:b/>
          <w:color w:val="365F91"/>
          <w:sz w:val="28"/>
          <w:szCs w:val="28"/>
        </w:rPr>
      </w:pPr>
      <w:bookmarkStart w:id="23" w:name="_Toc520894836"/>
      <w:r w:rsidRPr="001F0139">
        <w:rPr>
          <w:rFonts w:ascii="Times New Roman" w:hAnsi="Times New Roman" w:cs="Times New Roman"/>
          <w:b/>
          <w:color w:val="365F91"/>
          <w:sz w:val="28"/>
          <w:szCs w:val="28"/>
        </w:rPr>
        <w:t>Общественная безопасность</w:t>
      </w:r>
      <w:bookmarkEnd w:id="23"/>
    </w:p>
    <w:p w:rsidR="00FA0047" w:rsidRPr="001F0139" w:rsidRDefault="00FA0047" w:rsidP="001F0139">
      <w:pPr>
        <w:spacing w:after="0" w:line="360" w:lineRule="auto"/>
        <w:ind w:firstLine="709"/>
        <w:contextualSpacing/>
        <w:jc w:val="both"/>
        <w:rPr>
          <w:rFonts w:ascii="Times New Roman" w:hAnsi="Times New Roman" w:cs="Times New Roman"/>
          <w:b/>
          <w:color w:val="0070C0"/>
          <w:sz w:val="28"/>
          <w:szCs w:val="28"/>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 2016 году по Камышлинскому району зарегистрировано 129 преступлений (26 место, начиная с наибольшего значения); в пересчете на </w:t>
      </w:r>
      <w:r w:rsidRPr="001F0139">
        <w:rPr>
          <w:rFonts w:ascii="Times New Roman" w:hAnsi="Times New Roman" w:cs="Times New Roman"/>
          <w:sz w:val="28"/>
          <w:szCs w:val="28"/>
        </w:rPr>
        <w:lastRenderedPageBreak/>
        <w:t xml:space="preserve">100 тыс. населения – 1186 (12 место), что близко к среднему значению по Самарской области (рис. 1.4.19). Темп снижения количества зарегистрированных преступлений по сравнению с 2015 годом составляет 24%.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За последние 10 лет статистика правонарушений имеет устойчивую тенденцию к снижению количества зарегистрированных преступлений (рис.1.4.20). </w:t>
      </w:r>
    </w:p>
    <w:p w:rsidR="00FA0047" w:rsidRPr="001F0139" w:rsidRDefault="00FA0047" w:rsidP="001F0139">
      <w:pPr>
        <w:spacing w:after="0" w:line="360" w:lineRule="auto"/>
        <w:ind w:firstLine="709"/>
        <w:jc w:val="both"/>
        <w:rPr>
          <w:rFonts w:ascii="Times New Roman" w:hAnsi="Times New Roman" w:cs="Times New Roman"/>
          <w:sz w:val="28"/>
          <w:szCs w:val="28"/>
        </w:rPr>
      </w:pPr>
    </w:p>
    <w:p w:rsidR="00FA0047" w:rsidRPr="001F0139" w:rsidRDefault="00FA0047" w:rsidP="001F0139">
      <w:pPr>
        <w:spacing w:after="0" w:line="240" w:lineRule="auto"/>
        <w:jc w:val="center"/>
        <w:rPr>
          <w:rFonts w:ascii="Times New Roman" w:hAnsi="Times New Roman" w:cs="Times New Roman"/>
          <w:sz w:val="28"/>
          <w:szCs w:val="28"/>
        </w:rPr>
      </w:pPr>
      <w:r w:rsidRPr="001F0139">
        <w:rPr>
          <w:rFonts w:ascii="Times New Roman" w:hAnsi="Times New Roman" w:cs="Times New Roman"/>
          <w:noProof/>
          <w:lang w:eastAsia="ru-RU"/>
        </w:rPr>
        <w:drawing>
          <wp:inline distT="0" distB="0" distL="0" distR="0">
            <wp:extent cx="4949825" cy="4431665"/>
            <wp:effectExtent l="0" t="0" r="0" b="0"/>
            <wp:docPr id="629" name="Объект 6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A0047" w:rsidRPr="001F0139" w:rsidRDefault="00FA0047"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sz w:val="20"/>
          <w:szCs w:val="20"/>
        </w:rPr>
        <w:t>Источник: Муниципальные районы Самарской области. Статистический сборник. – Самара, 2017.</w:t>
      </w:r>
    </w:p>
    <w:p w:rsidR="00FA0047" w:rsidRPr="001F0139" w:rsidRDefault="00FA0047" w:rsidP="001F0139">
      <w:pPr>
        <w:spacing w:after="0" w:line="240" w:lineRule="auto"/>
        <w:jc w:val="center"/>
        <w:rPr>
          <w:rFonts w:ascii="Times New Roman" w:eastAsia="Times New Roman" w:hAnsi="Times New Roman" w:cs="Times New Roman"/>
          <w:b/>
          <w:sz w:val="28"/>
          <w:szCs w:val="28"/>
        </w:rPr>
      </w:pPr>
      <w:r w:rsidRPr="001F0139">
        <w:rPr>
          <w:rFonts w:ascii="Times New Roman" w:eastAsia="Times New Roman" w:hAnsi="Times New Roman" w:cs="Times New Roman"/>
          <w:b/>
          <w:sz w:val="28"/>
          <w:szCs w:val="28"/>
        </w:rPr>
        <w:t>Рисунок 1.4.19 – Число зарегистрированных правонарушений в муниципальных районах Самарской области на 100 тыс. населения в 2016 году</w:t>
      </w:r>
    </w:p>
    <w:p w:rsidR="00FA0047" w:rsidRPr="001F0139" w:rsidRDefault="00FA0047" w:rsidP="001F0139">
      <w:pPr>
        <w:spacing w:after="0" w:line="360" w:lineRule="auto"/>
        <w:ind w:firstLine="709"/>
        <w:jc w:val="both"/>
        <w:rPr>
          <w:rFonts w:ascii="Times New Roman" w:hAnsi="Times New Roman" w:cs="Times New Roman"/>
          <w:sz w:val="28"/>
          <w:szCs w:val="28"/>
        </w:rPr>
      </w:pPr>
    </w:p>
    <w:p w:rsidR="00FA0047" w:rsidRPr="001F0139" w:rsidRDefault="00FA0047" w:rsidP="001F0139">
      <w:pPr>
        <w:spacing w:after="0" w:line="240" w:lineRule="auto"/>
        <w:contextualSpacing/>
        <w:jc w:val="center"/>
        <w:rPr>
          <w:rFonts w:ascii="Times New Roman" w:hAnsi="Times New Roman" w:cs="Times New Roman"/>
          <w:b/>
          <w:color w:val="0070C0"/>
          <w:sz w:val="28"/>
          <w:szCs w:val="28"/>
        </w:rPr>
      </w:pPr>
      <w:r w:rsidRPr="001F0139">
        <w:rPr>
          <w:rFonts w:ascii="Times New Roman" w:hAnsi="Times New Roman" w:cs="Times New Roman"/>
          <w:noProof/>
          <w:lang w:eastAsia="ru-RU"/>
        </w:rPr>
        <w:lastRenderedPageBreak/>
        <w:drawing>
          <wp:inline distT="0" distB="0" distL="0" distR="0">
            <wp:extent cx="4596130" cy="2767330"/>
            <wp:effectExtent l="0" t="0" r="0" b="0"/>
            <wp:docPr id="25"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A0047" w:rsidRPr="001F0139" w:rsidRDefault="00FA0047"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sz w:val="20"/>
          <w:szCs w:val="20"/>
        </w:rPr>
        <w:t>Источник: Муниципальные районы Самарской области. Статистический сборник. – Самара, 2017.</w:t>
      </w:r>
    </w:p>
    <w:p w:rsidR="00FA0047" w:rsidRPr="001F0139" w:rsidRDefault="00FA0047" w:rsidP="001F0139">
      <w:pPr>
        <w:spacing w:after="0" w:line="240" w:lineRule="auto"/>
        <w:jc w:val="center"/>
        <w:rPr>
          <w:rFonts w:ascii="Times New Roman" w:eastAsia="Times New Roman" w:hAnsi="Times New Roman" w:cs="Times New Roman"/>
          <w:b/>
          <w:sz w:val="28"/>
          <w:szCs w:val="28"/>
        </w:rPr>
      </w:pPr>
      <w:r w:rsidRPr="001F0139">
        <w:rPr>
          <w:rFonts w:ascii="Times New Roman" w:eastAsia="Times New Roman" w:hAnsi="Times New Roman" w:cs="Times New Roman"/>
          <w:b/>
          <w:sz w:val="28"/>
          <w:szCs w:val="28"/>
        </w:rPr>
        <w:t>Рисунок 1.4.20 – Число зарегистрированных правонарушений в муниципальных районах Самарской области на 100 тыс. населения в 2016 году</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последние годы количество зарегистрированных дорожно-транспортных происшествий имеет тенденцию к снижению, показатель раскрываемости имеет устойчивую тенденцию к росту и в 201</w:t>
      </w:r>
      <w:r w:rsidR="00502DB5">
        <w:rPr>
          <w:rFonts w:ascii="Times New Roman" w:hAnsi="Times New Roman" w:cs="Times New Roman"/>
          <w:sz w:val="28"/>
          <w:szCs w:val="28"/>
        </w:rPr>
        <w:t>7</w:t>
      </w:r>
      <w:r w:rsidRPr="001F0139">
        <w:rPr>
          <w:rFonts w:ascii="Times New Roman" w:hAnsi="Times New Roman" w:cs="Times New Roman"/>
          <w:sz w:val="28"/>
          <w:szCs w:val="28"/>
        </w:rPr>
        <w:t xml:space="preserve"> году составил 9</w:t>
      </w:r>
      <w:r w:rsidR="00502DB5">
        <w:rPr>
          <w:rFonts w:ascii="Times New Roman" w:hAnsi="Times New Roman" w:cs="Times New Roman"/>
          <w:sz w:val="28"/>
          <w:szCs w:val="28"/>
        </w:rPr>
        <w:t>0</w:t>
      </w:r>
      <w:r w:rsidRPr="001F0139">
        <w:rPr>
          <w:rFonts w:ascii="Times New Roman" w:hAnsi="Times New Roman" w:cs="Times New Roman"/>
          <w:sz w:val="28"/>
          <w:szCs w:val="28"/>
        </w:rPr>
        <w:t>,</w:t>
      </w:r>
      <w:r w:rsidR="00502DB5">
        <w:rPr>
          <w:rFonts w:ascii="Times New Roman" w:hAnsi="Times New Roman" w:cs="Times New Roman"/>
          <w:sz w:val="28"/>
          <w:szCs w:val="28"/>
        </w:rPr>
        <w:t>6</w:t>
      </w:r>
      <w:r w:rsidRPr="001F0139">
        <w:rPr>
          <w:rFonts w:ascii="Times New Roman" w:hAnsi="Times New Roman" w:cs="Times New Roman"/>
          <w:sz w:val="28"/>
          <w:szCs w:val="28"/>
        </w:rPr>
        <w:t xml:space="preserve">%. </w:t>
      </w:r>
    </w:p>
    <w:p w:rsidR="00FA0047" w:rsidRPr="001F0139" w:rsidRDefault="00FA0047"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E74438" w:rsidRPr="001F0139" w:rsidRDefault="00E74438" w:rsidP="001F0139">
      <w:pPr>
        <w:pStyle w:val="a3"/>
        <w:spacing w:after="0" w:line="360" w:lineRule="auto"/>
        <w:ind w:left="0" w:firstLine="709"/>
        <w:jc w:val="both"/>
        <w:rPr>
          <w:rFonts w:ascii="Times New Roman" w:hAnsi="Times New Roman" w:cs="Times New Roman"/>
          <w:sz w:val="28"/>
          <w:szCs w:val="28"/>
        </w:rPr>
      </w:pPr>
      <w:r w:rsidRPr="001F0139">
        <w:rPr>
          <w:rFonts w:ascii="Times New Roman" w:hAnsi="Times New Roman" w:cs="Times New Roman"/>
          <w:b/>
          <w:color w:val="365F91" w:themeColor="accent1" w:themeShade="BF"/>
          <w:sz w:val="28"/>
          <w:szCs w:val="28"/>
        </w:rPr>
        <w:t xml:space="preserve">6.2. Стратегические цели, задачи и </w:t>
      </w:r>
      <w:r w:rsidR="00077D58" w:rsidRPr="001F0139">
        <w:rPr>
          <w:rFonts w:ascii="Times New Roman" w:hAnsi="Times New Roman" w:cs="Times New Roman"/>
          <w:b/>
          <w:color w:val="365F91" w:themeColor="accent1" w:themeShade="BF"/>
          <w:sz w:val="28"/>
          <w:szCs w:val="28"/>
        </w:rPr>
        <w:t>ожидаемые результаты</w:t>
      </w:r>
      <w:r w:rsidRPr="001F0139">
        <w:rPr>
          <w:rFonts w:ascii="Times New Roman" w:hAnsi="Times New Roman" w:cs="Times New Roman"/>
          <w:b/>
          <w:color w:val="365F91" w:themeColor="accent1" w:themeShade="BF"/>
          <w:sz w:val="28"/>
          <w:szCs w:val="28"/>
        </w:rPr>
        <w:t xml:space="preserve"> направления «Формирование, совершенствование и накопление человеческого капитала». </w:t>
      </w:r>
    </w:p>
    <w:p w:rsidR="00E74438" w:rsidRPr="001F0139" w:rsidRDefault="0048484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 xml:space="preserve">6.2.1. </w:t>
      </w:r>
      <w:r w:rsidR="00E74438" w:rsidRPr="001F0139">
        <w:rPr>
          <w:rFonts w:ascii="Times New Roman" w:hAnsi="Times New Roman" w:cs="Times New Roman"/>
          <w:b/>
          <w:color w:val="365F91" w:themeColor="accent1" w:themeShade="BF"/>
          <w:sz w:val="28"/>
          <w:szCs w:val="28"/>
        </w:rPr>
        <w:t>Достижение современного, качественного образования в Камышлинском районе</w:t>
      </w:r>
    </w:p>
    <w:p w:rsidR="00AE2DFC" w:rsidRDefault="00AE2DFC" w:rsidP="001F0139">
      <w:pPr>
        <w:pStyle w:val="a3"/>
        <w:spacing w:after="0" w:line="360" w:lineRule="auto"/>
        <w:ind w:left="0" w:firstLine="709"/>
        <w:jc w:val="both"/>
        <w:rPr>
          <w:rFonts w:ascii="Times New Roman" w:hAnsi="Times New Roman" w:cs="Times New Roman"/>
          <w:b/>
          <w:sz w:val="28"/>
          <w:szCs w:val="28"/>
        </w:rPr>
      </w:pPr>
    </w:p>
    <w:p w:rsidR="009A24B4" w:rsidRPr="001F0139" w:rsidRDefault="009A24B4" w:rsidP="001F0139">
      <w:pPr>
        <w:pStyle w:val="a3"/>
        <w:spacing w:after="0" w:line="360" w:lineRule="auto"/>
        <w:ind w:left="0" w:firstLine="709"/>
        <w:jc w:val="both"/>
        <w:rPr>
          <w:rFonts w:ascii="Times New Roman" w:hAnsi="Times New Roman" w:cs="Times New Roman"/>
          <w:sz w:val="28"/>
          <w:szCs w:val="28"/>
        </w:rPr>
      </w:pPr>
      <w:r w:rsidRPr="00484848">
        <w:rPr>
          <w:rFonts w:ascii="Times New Roman" w:hAnsi="Times New Roman" w:cs="Times New Roman"/>
          <w:b/>
          <w:sz w:val="28"/>
          <w:szCs w:val="28"/>
        </w:rPr>
        <w:t>Цель</w:t>
      </w:r>
      <w:r w:rsidR="00484848" w:rsidRPr="00484848">
        <w:rPr>
          <w:rFonts w:ascii="Times New Roman" w:hAnsi="Times New Roman" w:cs="Times New Roman"/>
          <w:b/>
          <w:sz w:val="28"/>
          <w:szCs w:val="28"/>
        </w:rPr>
        <w:t>:</w:t>
      </w:r>
      <w:r w:rsidRPr="001F0139">
        <w:rPr>
          <w:rFonts w:ascii="Times New Roman" w:hAnsi="Times New Roman" w:cs="Times New Roman"/>
          <w:sz w:val="28"/>
          <w:szCs w:val="28"/>
        </w:rPr>
        <w:t xml:space="preserve"> Достижение современного, качественного образования в Камышлинском районе</w:t>
      </w:r>
    </w:p>
    <w:p w:rsidR="00077D58" w:rsidRPr="001F0139" w:rsidRDefault="009A24B4" w:rsidP="001F0139">
      <w:pPr>
        <w:pStyle w:val="a3"/>
        <w:spacing w:after="0" w:line="360" w:lineRule="auto"/>
        <w:ind w:left="0" w:firstLine="709"/>
        <w:jc w:val="both"/>
        <w:rPr>
          <w:rFonts w:ascii="Times New Roman" w:hAnsi="Times New Roman" w:cs="Times New Roman"/>
          <w:b/>
          <w:sz w:val="28"/>
          <w:szCs w:val="28"/>
        </w:rPr>
      </w:pPr>
      <w:r w:rsidRPr="001F0139">
        <w:rPr>
          <w:rFonts w:ascii="Times New Roman" w:hAnsi="Times New Roman" w:cs="Times New Roman"/>
          <w:b/>
          <w:sz w:val="28"/>
          <w:szCs w:val="28"/>
        </w:rPr>
        <w:t>Задачи</w:t>
      </w:r>
    </w:p>
    <w:p w:rsidR="009A24B4" w:rsidRPr="001F0139" w:rsidRDefault="009A24B4" w:rsidP="001F0139">
      <w:pPr>
        <w:pStyle w:val="a3"/>
        <w:numPr>
          <w:ilvl w:val="0"/>
          <w:numId w:val="31"/>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t>Программа строительства детских садов с учетом потребности в дошкольном образовании;</w:t>
      </w:r>
    </w:p>
    <w:p w:rsidR="009A24B4" w:rsidRPr="001F0139" w:rsidRDefault="009A24B4" w:rsidP="001F0139">
      <w:pPr>
        <w:pStyle w:val="a3"/>
        <w:numPr>
          <w:ilvl w:val="0"/>
          <w:numId w:val="31"/>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t>Создание дополнительных мест в дошкольных учреждениях после проводимого капитального ремонта</w:t>
      </w:r>
    </w:p>
    <w:p w:rsidR="009A24B4" w:rsidRPr="001F0139" w:rsidRDefault="009A24B4" w:rsidP="001F0139">
      <w:pPr>
        <w:pStyle w:val="a3"/>
        <w:numPr>
          <w:ilvl w:val="0"/>
          <w:numId w:val="31"/>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lastRenderedPageBreak/>
        <w:t>Разработка и реализация программы по обеспечению преемственности дошкольных образовательных учреждений и школы в условиях реализации ФГОС ДО и ФГОС НОО.</w:t>
      </w:r>
    </w:p>
    <w:p w:rsidR="009A24B4" w:rsidRPr="001F0139" w:rsidRDefault="009A24B4" w:rsidP="001F0139">
      <w:pPr>
        <w:pStyle w:val="a3"/>
        <w:numPr>
          <w:ilvl w:val="0"/>
          <w:numId w:val="31"/>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t>Разработка Программы по работе с одаренными детьми.</w:t>
      </w:r>
    </w:p>
    <w:p w:rsidR="009A24B4" w:rsidRPr="001F0139" w:rsidRDefault="009A24B4" w:rsidP="001F0139">
      <w:pPr>
        <w:pStyle w:val="a3"/>
        <w:numPr>
          <w:ilvl w:val="0"/>
          <w:numId w:val="31"/>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t>Психолого-медико-педагогическое сопровождение детей с особыми образовательными потребностями в условиях ДОУ (инклюзивное образование).</w:t>
      </w:r>
    </w:p>
    <w:p w:rsidR="009A24B4" w:rsidRPr="001F0139" w:rsidRDefault="009A24B4" w:rsidP="001F0139">
      <w:pPr>
        <w:pStyle w:val="a3"/>
        <w:numPr>
          <w:ilvl w:val="0"/>
          <w:numId w:val="31"/>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t>Преобразование и обогащение развивающей предметно-пространственной среды ДОУ в соответствии с требованиями ФГОС дошкольного образования.</w:t>
      </w:r>
    </w:p>
    <w:p w:rsidR="009A24B4" w:rsidRPr="001F0139" w:rsidRDefault="009A24B4" w:rsidP="001F0139">
      <w:pPr>
        <w:pStyle w:val="a3"/>
        <w:numPr>
          <w:ilvl w:val="0"/>
          <w:numId w:val="31"/>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t>Внедрение учебно-методических комплектов по обучению татарскому языку;</w:t>
      </w:r>
    </w:p>
    <w:p w:rsidR="009A24B4" w:rsidRPr="001F0139" w:rsidRDefault="009A24B4" w:rsidP="001F0139">
      <w:pPr>
        <w:pStyle w:val="a3"/>
        <w:numPr>
          <w:ilvl w:val="0"/>
          <w:numId w:val="31"/>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t>Открытие групп с погружением в языковую среду: татарскую, английскую;</w:t>
      </w:r>
    </w:p>
    <w:p w:rsidR="009A24B4" w:rsidRPr="001F0139" w:rsidRDefault="009A24B4" w:rsidP="001F0139">
      <w:pPr>
        <w:pStyle w:val="a3"/>
        <w:numPr>
          <w:ilvl w:val="0"/>
          <w:numId w:val="31"/>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t>Открытие международного детского сада на базе международной школы;</w:t>
      </w:r>
    </w:p>
    <w:p w:rsidR="009A24B4" w:rsidRPr="001F0139" w:rsidRDefault="002962B6" w:rsidP="001F0139">
      <w:pPr>
        <w:pStyle w:val="a3"/>
        <w:numPr>
          <w:ilvl w:val="0"/>
          <w:numId w:val="3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9A24B4" w:rsidRPr="001F0139">
        <w:rPr>
          <w:rFonts w:ascii="Times New Roman" w:hAnsi="Times New Roman" w:cs="Times New Roman"/>
          <w:sz w:val="28"/>
          <w:szCs w:val="28"/>
        </w:rPr>
        <w:t>Открытие групп для неорганизованных детей раннего возраста с целью адаптации детей к детскому саду;</w:t>
      </w:r>
    </w:p>
    <w:p w:rsidR="009A24B4" w:rsidRPr="001F0139" w:rsidRDefault="009A24B4" w:rsidP="001F0139">
      <w:pPr>
        <w:pStyle w:val="a3"/>
        <w:spacing w:after="0" w:line="360" w:lineRule="auto"/>
        <w:ind w:left="0" w:firstLine="709"/>
        <w:jc w:val="both"/>
        <w:rPr>
          <w:rFonts w:ascii="Times New Roman" w:hAnsi="Times New Roman" w:cs="Times New Roman"/>
          <w:b/>
          <w:sz w:val="28"/>
          <w:szCs w:val="28"/>
        </w:rPr>
      </w:pPr>
      <w:r w:rsidRPr="001F0139">
        <w:rPr>
          <w:rFonts w:ascii="Times New Roman" w:hAnsi="Times New Roman" w:cs="Times New Roman"/>
          <w:b/>
          <w:sz w:val="28"/>
          <w:szCs w:val="28"/>
        </w:rPr>
        <w:t>Мероприятия</w:t>
      </w:r>
    </w:p>
    <w:p w:rsidR="009A24B4" w:rsidRPr="001F0139" w:rsidRDefault="009A24B4" w:rsidP="001F0139">
      <w:pPr>
        <w:pStyle w:val="a3"/>
        <w:numPr>
          <w:ilvl w:val="0"/>
          <w:numId w:val="32"/>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t>организация комплекса исследований в области дошкольного детства;</w:t>
      </w:r>
    </w:p>
    <w:p w:rsidR="009A24B4" w:rsidRPr="001F0139" w:rsidRDefault="009A24B4" w:rsidP="001F0139">
      <w:pPr>
        <w:pStyle w:val="a3"/>
        <w:numPr>
          <w:ilvl w:val="0"/>
          <w:numId w:val="32"/>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t>создание грантовых программ поддержки инноваций в сфере дошкольного образования;</w:t>
      </w:r>
    </w:p>
    <w:p w:rsidR="009A24B4" w:rsidRPr="001F0139" w:rsidRDefault="009A24B4" w:rsidP="001F0139">
      <w:pPr>
        <w:pStyle w:val="a3"/>
        <w:numPr>
          <w:ilvl w:val="0"/>
          <w:numId w:val="32"/>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t>стимулирование негосударственного сектора дошкольного образования, развитие государственно-частного и социального партнерства;</w:t>
      </w:r>
    </w:p>
    <w:p w:rsidR="009A24B4" w:rsidRPr="001F0139" w:rsidRDefault="009A24B4" w:rsidP="001F0139">
      <w:pPr>
        <w:pStyle w:val="a3"/>
        <w:numPr>
          <w:ilvl w:val="0"/>
          <w:numId w:val="32"/>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t>укрепление связи организаций дошкольного образования со школами, в том числе в форме комплексов: включение детских садов в состав комплексов со школами, создание инфраструктуры дошкольного образования многоцелевого назначения;</w:t>
      </w:r>
    </w:p>
    <w:p w:rsidR="009A24B4" w:rsidRPr="001F0139" w:rsidRDefault="009A24B4" w:rsidP="001F0139">
      <w:pPr>
        <w:pStyle w:val="a3"/>
        <w:numPr>
          <w:ilvl w:val="0"/>
          <w:numId w:val="32"/>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t xml:space="preserve">реализация проекта </w:t>
      </w:r>
      <w:r w:rsidR="00B42879">
        <w:rPr>
          <w:rFonts w:ascii="Times New Roman" w:hAnsi="Times New Roman" w:cs="Times New Roman"/>
          <w:sz w:val="28"/>
          <w:szCs w:val="28"/>
        </w:rPr>
        <w:t>«</w:t>
      </w:r>
      <w:r w:rsidRPr="001F0139">
        <w:rPr>
          <w:rFonts w:ascii="Times New Roman" w:hAnsi="Times New Roman" w:cs="Times New Roman"/>
          <w:sz w:val="28"/>
          <w:szCs w:val="28"/>
        </w:rPr>
        <w:t>Раннее развитие</w:t>
      </w:r>
      <w:r w:rsidR="00B42879">
        <w:rPr>
          <w:rFonts w:ascii="Times New Roman" w:hAnsi="Times New Roman" w:cs="Times New Roman"/>
          <w:sz w:val="28"/>
          <w:szCs w:val="28"/>
        </w:rPr>
        <w:t>»</w:t>
      </w:r>
      <w:r w:rsidRPr="001F0139">
        <w:rPr>
          <w:rFonts w:ascii="Times New Roman" w:hAnsi="Times New Roman" w:cs="Times New Roman"/>
          <w:sz w:val="28"/>
          <w:szCs w:val="28"/>
        </w:rPr>
        <w:t>, который включает:</w:t>
      </w:r>
    </w:p>
    <w:p w:rsidR="009A24B4" w:rsidRPr="00B42879" w:rsidRDefault="00B42879" w:rsidP="00B42879">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9A24B4" w:rsidRPr="00B42879">
        <w:rPr>
          <w:rFonts w:ascii="Times New Roman" w:hAnsi="Times New Roman" w:cs="Times New Roman"/>
          <w:sz w:val="28"/>
          <w:szCs w:val="28"/>
        </w:rPr>
        <w:t>создание системы оценки индивидуального развития дошкольников;</w:t>
      </w:r>
    </w:p>
    <w:p w:rsidR="009A24B4" w:rsidRPr="00B42879" w:rsidRDefault="00B42879" w:rsidP="00B42879">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9A24B4" w:rsidRPr="00B42879">
        <w:rPr>
          <w:rFonts w:ascii="Times New Roman" w:hAnsi="Times New Roman" w:cs="Times New Roman"/>
          <w:sz w:val="28"/>
          <w:szCs w:val="28"/>
        </w:rPr>
        <w:t>создание клубов раннего развития на базе дошкольных организаций, гибкие формы поддержки семей и дошкольного образования, особая поддержка детей в трудной ситуации, включая детей с ограниченными возможностями здоровья;</w:t>
      </w:r>
    </w:p>
    <w:p w:rsidR="009A24B4" w:rsidRPr="00B42879" w:rsidRDefault="00B42879" w:rsidP="00B42879">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9A24B4" w:rsidRPr="00B42879">
        <w:rPr>
          <w:rFonts w:ascii="Times New Roman" w:hAnsi="Times New Roman" w:cs="Times New Roman"/>
          <w:sz w:val="28"/>
          <w:szCs w:val="28"/>
        </w:rPr>
        <w:t>создание доступной системы сопровождения детей с трудностями в развитии.</w:t>
      </w:r>
    </w:p>
    <w:p w:rsidR="00077D58" w:rsidRPr="001F0139" w:rsidRDefault="00077D58" w:rsidP="001F0139">
      <w:pPr>
        <w:pStyle w:val="a3"/>
        <w:spacing w:after="0" w:line="360" w:lineRule="auto"/>
        <w:ind w:left="0" w:firstLine="709"/>
        <w:jc w:val="both"/>
        <w:rPr>
          <w:rFonts w:ascii="Times New Roman" w:hAnsi="Times New Roman" w:cs="Times New Roman"/>
          <w:b/>
          <w:sz w:val="28"/>
          <w:szCs w:val="28"/>
        </w:rPr>
      </w:pPr>
      <w:r w:rsidRPr="001F0139">
        <w:rPr>
          <w:rFonts w:ascii="Times New Roman" w:hAnsi="Times New Roman" w:cs="Times New Roman"/>
          <w:b/>
          <w:sz w:val="28"/>
          <w:szCs w:val="28"/>
        </w:rPr>
        <w:lastRenderedPageBreak/>
        <w:t xml:space="preserve">Программы и проекты </w:t>
      </w:r>
    </w:p>
    <w:p w:rsidR="00077D58" w:rsidRPr="001F0139" w:rsidRDefault="00077D58" w:rsidP="001F0139">
      <w:pPr>
        <w:pStyle w:val="a3"/>
        <w:spacing w:after="0" w:line="360" w:lineRule="auto"/>
        <w:ind w:left="0"/>
        <w:rPr>
          <w:rFonts w:ascii="Times New Roman" w:hAnsi="Times New Roman" w:cs="Times New Roman"/>
          <w:sz w:val="28"/>
          <w:szCs w:val="28"/>
        </w:rPr>
      </w:pPr>
      <w:r w:rsidRPr="001F0139">
        <w:rPr>
          <w:rFonts w:ascii="Times New Roman" w:hAnsi="Times New Roman" w:cs="Times New Roman"/>
          <w:bCs/>
          <w:sz w:val="28"/>
          <w:szCs w:val="28"/>
          <w:u w:val="single"/>
        </w:rPr>
        <w:t xml:space="preserve">Разработка и реализация муниципальной программы </w:t>
      </w:r>
      <w:r w:rsidRPr="001F0139">
        <w:rPr>
          <w:rFonts w:ascii="Times New Roman" w:hAnsi="Times New Roman" w:cs="Times New Roman"/>
          <w:sz w:val="28"/>
          <w:szCs w:val="28"/>
        </w:rPr>
        <w:t>«Развитие материально-технической базы и кадрового потенциала образования, здравоохранения, культуры и спорта в районе»</w:t>
      </w:r>
    </w:p>
    <w:p w:rsidR="00077D58" w:rsidRPr="001F0139" w:rsidRDefault="00077D58" w:rsidP="001F0139">
      <w:pPr>
        <w:spacing w:after="0" w:line="360" w:lineRule="auto"/>
        <w:rPr>
          <w:rFonts w:ascii="Times New Roman" w:hAnsi="Times New Roman" w:cs="Times New Roman"/>
          <w:sz w:val="28"/>
          <w:szCs w:val="28"/>
        </w:rPr>
      </w:pPr>
      <w:r w:rsidRPr="001F0139">
        <w:rPr>
          <w:rFonts w:ascii="Times New Roman" w:hAnsi="Times New Roman" w:cs="Times New Roman"/>
          <w:bCs/>
          <w:sz w:val="28"/>
          <w:szCs w:val="28"/>
          <w:u w:val="single"/>
        </w:rPr>
        <w:t xml:space="preserve">Проект </w:t>
      </w:r>
      <w:r w:rsidRPr="001F0139">
        <w:rPr>
          <w:rFonts w:ascii="Times New Roman" w:hAnsi="Times New Roman" w:cs="Times New Roman"/>
          <w:sz w:val="28"/>
          <w:szCs w:val="28"/>
        </w:rPr>
        <w:t>«Расширение спектра услуг образовательного центра с использованием цифрового дистанционного обучения» (2019-2021 гг)</w:t>
      </w:r>
    </w:p>
    <w:p w:rsidR="00077D58" w:rsidRPr="001F0139" w:rsidRDefault="00077D5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E74438" w:rsidRPr="001F0139" w:rsidRDefault="00E7443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6.2.2. Обеспечение социализациии высоких образовательны</w:t>
      </w:r>
      <w:r w:rsidR="000B7CD7">
        <w:rPr>
          <w:rFonts w:ascii="Times New Roman" w:hAnsi="Times New Roman" w:cs="Times New Roman"/>
          <w:b/>
          <w:color w:val="365F91" w:themeColor="accent1" w:themeShade="BF"/>
          <w:sz w:val="28"/>
          <w:szCs w:val="28"/>
        </w:rPr>
        <w:t>х</w:t>
      </w:r>
      <w:r w:rsidRPr="001F0139">
        <w:rPr>
          <w:rFonts w:ascii="Times New Roman" w:hAnsi="Times New Roman" w:cs="Times New Roman"/>
          <w:b/>
          <w:color w:val="365F91" w:themeColor="accent1" w:themeShade="BF"/>
          <w:sz w:val="28"/>
          <w:szCs w:val="28"/>
        </w:rPr>
        <w:t xml:space="preserve"> достижений каждого школьника с учетом индивидуальных особенностей, развитие навыков в сфере цифровых технологий.</w:t>
      </w:r>
    </w:p>
    <w:p w:rsidR="009A24B4" w:rsidRPr="001F0139" w:rsidRDefault="009A24B4"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484848">
        <w:rPr>
          <w:rFonts w:ascii="Times New Roman" w:hAnsi="Times New Roman" w:cs="Times New Roman"/>
          <w:b/>
          <w:sz w:val="28"/>
          <w:szCs w:val="28"/>
        </w:rPr>
        <w:t>Цель</w:t>
      </w:r>
      <w:r w:rsidR="009C63D6" w:rsidRPr="00484848">
        <w:rPr>
          <w:rFonts w:ascii="Times New Roman" w:hAnsi="Times New Roman" w:cs="Times New Roman"/>
          <w:b/>
          <w:sz w:val="28"/>
          <w:szCs w:val="28"/>
        </w:rPr>
        <w:t>:</w:t>
      </w:r>
      <w:r w:rsidRPr="001F0139">
        <w:rPr>
          <w:rFonts w:ascii="Times New Roman" w:hAnsi="Times New Roman" w:cs="Times New Roman"/>
          <w:sz w:val="28"/>
          <w:szCs w:val="28"/>
        </w:rPr>
        <w:t xml:space="preserve"> Обеспечение социализации высоких образовательны</w:t>
      </w:r>
      <w:r w:rsidR="009C63D6">
        <w:rPr>
          <w:rFonts w:ascii="Times New Roman" w:hAnsi="Times New Roman" w:cs="Times New Roman"/>
          <w:sz w:val="28"/>
          <w:szCs w:val="28"/>
        </w:rPr>
        <w:t>х</w:t>
      </w:r>
      <w:r w:rsidRPr="001F0139">
        <w:rPr>
          <w:rFonts w:ascii="Times New Roman" w:hAnsi="Times New Roman" w:cs="Times New Roman"/>
          <w:sz w:val="28"/>
          <w:szCs w:val="28"/>
        </w:rPr>
        <w:t xml:space="preserve"> достижений каждого школьника с учетом индивидуальных особенностей, развитие навыков в сфере цифровых технологий</w:t>
      </w:r>
      <w:r w:rsidRPr="001F0139">
        <w:rPr>
          <w:rFonts w:ascii="Times New Roman" w:hAnsi="Times New Roman" w:cs="Times New Roman"/>
          <w:b/>
          <w:color w:val="365F91" w:themeColor="accent1" w:themeShade="BF"/>
          <w:sz w:val="28"/>
          <w:szCs w:val="28"/>
        </w:rPr>
        <w:t>.</w:t>
      </w:r>
    </w:p>
    <w:p w:rsidR="009A24B4" w:rsidRPr="00484848" w:rsidRDefault="009A24B4" w:rsidP="001F0139">
      <w:pPr>
        <w:pStyle w:val="a3"/>
        <w:spacing w:after="0" w:line="360" w:lineRule="auto"/>
        <w:ind w:left="0"/>
        <w:rPr>
          <w:rFonts w:ascii="Times New Roman" w:hAnsi="Times New Roman" w:cs="Times New Roman"/>
          <w:b/>
          <w:bCs/>
          <w:sz w:val="28"/>
          <w:szCs w:val="28"/>
        </w:rPr>
      </w:pPr>
      <w:r w:rsidRPr="00484848">
        <w:rPr>
          <w:rFonts w:ascii="Times New Roman" w:hAnsi="Times New Roman" w:cs="Times New Roman"/>
          <w:b/>
          <w:bCs/>
          <w:sz w:val="28"/>
          <w:szCs w:val="28"/>
        </w:rPr>
        <w:t>Задачи:</w:t>
      </w:r>
    </w:p>
    <w:p w:rsidR="009A24B4" w:rsidRPr="001F0139" w:rsidRDefault="009A24B4" w:rsidP="001F0139">
      <w:pPr>
        <w:pStyle w:val="a3"/>
        <w:spacing w:after="0" w:line="360" w:lineRule="auto"/>
        <w:ind w:left="0"/>
        <w:rPr>
          <w:rFonts w:ascii="Times New Roman" w:hAnsi="Times New Roman" w:cs="Times New Roman"/>
          <w:bCs/>
          <w:sz w:val="28"/>
          <w:szCs w:val="28"/>
        </w:rPr>
      </w:pPr>
      <w:r w:rsidRPr="001F0139">
        <w:rPr>
          <w:rFonts w:ascii="Times New Roman" w:hAnsi="Times New Roman" w:cs="Times New Roman"/>
          <w:bCs/>
          <w:sz w:val="28"/>
          <w:szCs w:val="28"/>
        </w:rPr>
        <w:t>Создать среду, интегрирующую современные управленческие, технологические и педагогические решения.</w:t>
      </w:r>
    </w:p>
    <w:p w:rsidR="009A24B4" w:rsidRPr="001F0139" w:rsidRDefault="009A24B4" w:rsidP="001F0139">
      <w:pPr>
        <w:pStyle w:val="a3"/>
        <w:spacing w:after="0" w:line="360" w:lineRule="auto"/>
        <w:ind w:left="0"/>
        <w:rPr>
          <w:rFonts w:ascii="Times New Roman" w:hAnsi="Times New Roman" w:cs="Times New Roman"/>
          <w:bCs/>
          <w:sz w:val="28"/>
          <w:szCs w:val="28"/>
        </w:rPr>
      </w:pPr>
      <w:r w:rsidRPr="001F0139">
        <w:rPr>
          <w:rFonts w:ascii="Times New Roman" w:hAnsi="Times New Roman" w:cs="Times New Roman"/>
          <w:bCs/>
          <w:sz w:val="28"/>
          <w:szCs w:val="28"/>
        </w:rPr>
        <w:t>Обеспечить инклюзивное образование для детей с ограниченными возможностями здоровья.</w:t>
      </w:r>
    </w:p>
    <w:p w:rsidR="009A24B4" w:rsidRPr="001F0139" w:rsidRDefault="009A24B4" w:rsidP="001F0139">
      <w:pPr>
        <w:pStyle w:val="a3"/>
        <w:spacing w:after="0" w:line="360" w:lineRule="auto"/>
        <w:ind w:left="0"/>
        <w:rPr>
          <w:rFonts w:ascii="Times New Roman" w:hAnsi="Times New Roman" w:cs="Times New Roman"/>
          <w:bCs/>
          <w:sz w:val="28"/>
          <w:szCs w:val="28"/>
        </w:rPr>
      </w:pPr>
      <w:r w:rsidRPr="001F0139">
        <w:rPr>
          <w:rFonts w:ascii="Times New Roman" w:hAnsi="Times New Roman" w:cs="Times New Roman"/>
          <w:bCs/>
          <w:sz w:val="28"/>
          <w:szCs w:val="28"/>
        </w:rPr>
        <w:t>Расширить возможности семей, местного сообщества, бизнеса для участия в образовательном процессе, оценке качества образования и управлении школами.</w:t>
      </w:r>
    </w:p>
    <w:p w:rsidR="009A24B4" w:rsidRPr="001F0139" w:rsidRDefault="009A24B4" w:rsidP="001F0139">
      <w:pPr>
        <w:pStyle w:val="a3"/>
        <w:spacing w:after="0" w:line="360" w:lineRule="auto"/>
        <w:ind w:left="0"/>
        <w:rPr>
          <w:rFonts w:ascii="Times New Roman" w:hAnsi="Times New Roman" w:cs="Times New Roman"/>
          <w:bCs/>
          <w:sz w:val="28"/>
          <w:szCs w:val="28"/>
        </w:rPr>
      </w:pPr>
      <w:r w:rsidRPr="001F0139">
        <w:rPr>
          <w:rFonts w:ascii="Times New Roman" w:hAnsi="Times New Roman" w:cs="Times New Roman"/>
          <w:bCs/>
          <w:sz w:val="28"/>
          <w:szCs w:val="28"/>
        </w:rPr>
        <w:t>Обеспечить высокий уровень индивидуализации образования и академической мобильности обучающихся за счет развития современных форм обучения, включая профильное обучение, за счет интеграции общего и дополнительного образования.</w:t>
      </w:r>
    </w:p>
    <w:p w:rsidR="009A24B4" w:rsidRPr="00795584" w:rsidRDefault="009A24B4" w:rsidP="001F0139">
      <w:pPr>
        <w:pStyle w:val="a3"/>
        <w:spacing w:after="0" w:line="360" w:lineRule="auto"/>
        <w:ind w:left="0"/>
        <w:rPr>
          <w:rFonts w:ascii="Times New Roman" w:hAnsi="Times New Roman" w:cs="Times New Roman"/>
          <w:b/>
          <w:bCs/>
          <w:sz w:val="28"/>
          <w:szCs w:val="28"/>
        </w:rPr>
      </w:pPr>
      <w:r w:rsidRPr="00795584">
        <w:rPr>
          <w:rFonts w:ascii="Times New Roman" w:hAnsi="Times New Roman" w:cs="Times New Roman"/>
          <w:b/>
          <w:bCs/>
          <w:sz w:val="28"/>
          <w:szCs w:val="28"/>
        </w:rPr>
        <w:t>Мероприятия</w:t>
      </w:r>
      <w:bookmarkStart w:id="24" w:name="bookmark28"/>
      <w:r w:rsidRPr="00795584">
        <w:rPr>
          <w:rFonts w:ascii="Times New Roman" w:hAnsi="Times New Roman" w:cs="Times New Roman"/>
          <w:b/>
          <w:bCs/>
          <w:sz w:val="28"/>
          <w:szCs w:val="28"/>
        </w:rPr>
        <w:t>:</w:t>
      </w:r>
      <w:bookmarkEnd w:id="24"/>
    </w:p>
    <w:p w:rsidR="009A24B4" w:rsidRPr="001F0139" w:rsidRDefault="009A24B4" w:rsidP="001F0139">
      <w:pPr>
        <w:pStyle w:val="a3"/>
        <w:numPr>
          <w:ilvl w:val="0"/>
          <w:numId w:val="34"/>
        </w:numPr>
        <w:spacing w:after="0" w:line="360" w:lineRule="auto"/>
        <w:ind w:left="0"/>
        <w:jc w:val="both"/>
        <w:rPr>
          <w:rFonts w:ascii="Times New Roman" w:hAnsi="Times New Roman" w:cs="Times New Roman"/>
          <w:bCs/>
          <w:sz w:val="28"/>
          <w:szCs w:val="28"/>
        </w:rPr>
      </w:pPr>
      <w:r w:rsidRPr="001F0139">
        <w:rPr>
          <w:rFonts w:ascii="Times New Roman" w:hAnsi="Times New Roman" w:cs="Times New Roman"/>
          <w:bCs/>
          <w:sz w:val="28"/>
          <w:szCs w:val="28"/>
        </w:rPr>
        <w:t>программа строительства и реконструкции новых школьных зданий;</w:t>
      </w:r>
    </w:p>
    <w:p w:rsidR="009A24B4" w:rsidRPr="001F0139" w:rsidRDefault="009A24B4" w:rsidP="001F0139">
      <w:pPr>
        <w:pStyle w:val="a3"/>
        <w:numPr>
          <w:ilvl w:val="0"/>
          <w:numId w:val="34"/>
        </w:numPr>
        <w:spacing w:after="0" w:line="360" w:lineRule="auto"/>
        <w:ind w:left="0"/>
        <w:jc w:val="both"/>
        <w:rPr>
          <w:rFonts w:ascii="Times New Roman" w:hAnsi="Times New Roman" w:cs="Times New Roman"/>
          <w:bCs/>
          <w:sz w:val="28"/>
          <w:szCs w:val="28"/>
        </w:rPr>
      </w:pPr>
      <w:r w:rsidRPr="001F0139">
        <w:rPr>
          <w:rFonts w:ascii="Times New Roman" w:hAnsi="Times New Roman" w:cs="Times New Roman"/>
          <w:bCs/>
          <w:sz w:val="28"/>
          <w:szCs w:val="28"/>
        </w:rPr>
        <w:t>грантовые программы поддержки инноваций;</w:t>
      </w:r>
    </w:p>
    <w:p w:rsidR="009A24B4" w:rsidRPr="001F0139" w:rsidRDefault="009A24B4" w:rsidP="001F0139">
      <w:pPr>
        <w:pStyle w:val="a3"/>
        <w:numPr>
          <w:ilvl w:val="0"/>
          <w:numId w:val="34"/>
        </w:numPr>
        <w:spacing w:after="0" w:line="360" w:lineRule="auto"/>
        <w:ind w:left="0"/>
        <w:jc w:val="both"/>
        <w:rPr>
          <w:rFonts w:ascii="Times New Roman" w:hAnsi="Times New Roman" w:cs="Times New Roman"/>
          <w:bCs/>
          <w:sz w:val="28"/>
          <w:szCs w:val="28"/>
        </w:rPr>
      </w:pPr>
      <w:r w:rsidRPr="001F0139">
        <w:rPr>
          <w:rFonts w:ascii="Times New Roman" w:hAnsi="Times New Roman" w:cs="Times New Roman"/>
          <w:bCs/>
          <w:sz w:val="28"/>
          <w:szCs w:val="28"/>
        </w:rPr>
        <w:t>районная программа достижения лидерства в образовании в сфере математики и информационных технологий;</w:t>
      </w:r>
    </w:p>
    <w:p w:rsidR="009A24B4" w:rsidRPr="001F0139" w:rsidRDefault="009A24B4" w:rsidP="001F0139">
      <w:pPr>
        <w:pStyle w:val="a3"/>
        <w:numPr>
          <w:ilvl w:val="0"/>
          <w:numId w:val="34"/>
        </w:numPr>
        <w:spacing w:after="0" w:line="360" w:lineRule="auto"/>
        <w:ind w:left="0"/>
        <w:jc w:val="both"/>
        <w:rPr>
          <w:rFonts w:ascii="Times New Roman" w:hAnsi="Times New Roman" w:cs="Times New Roman"/>
          <w:bCs/>
          <w:sz w:val="28"/>
          <w:szCs w:val="28"/>
        </w:rPr>
      </w:pPr>
      <w:r w:rsidRPr="001F0139">
        <w:rPr>
          <w:rFonts w:ascii="Times New Roman" w:hAnsi="Times New Roman" w:cs="Times New Roman"/>
          <w:bCs/>
          <w:sz w:val="28"/>
          <w:szCs w:val="28"/>
        </w:rPr>
        <w:lastRenderedPageBreak/>
        <w:t>нормативное стимулирование повышения самостоятельности образовательных организаций;</w:t>
      </w:r>
    </w:p>
    <w:p w:rsidR="009A24B4" w:rsidRPr="001F0139" w:rsidRDefault="009A24B4" w:rsidP="001F0139">
      <w:pPr>
        <w:pStyle w:val="a3"/>
        <w:numPr>
          <w:ilvl w:val="0"/>
          <w:numId w:val="34"/>
        </w:numPr>
        <w:spacing w:after="0" w:line="360" w:lineRule="auto"/>
        <w:ind w:left="0"/>
        <w:jc w:val="both"/>
        <w:rPr>
          <w:rFonts w:ascii="Times New Roman" w:hAnsi="Times New Roman" w:cs="Times New Roman"/>
          <w:bCs/>
          <w:sz w:val="28"/>
          <w:szCs w:val="28"/>
        </w:rPr>
      </w:pPr>
      <w:r w:rsidRPr="001F0139">
        <w:rPr>
          <w:rFonts w:ascii="Times New Roman" w:hAnsi="Times New Roman" w:cs="Times New Roman"/>
          <w:bCs/>
          <w:sz w:val="28"/>
          <w:szCs w:val="28"/>
        </w:rPr>
        <w:t>нормативное стимулирование расширения участия родителей в образовательном процессе и развитии образования;</w:t>
      </w:r>
    </w:p>
    <w:p w:rsidR="009A24B4" w:rsidRPr="001F0139" w:rsidRDefault="009A24B4" w:rsidP="001F0139">
      <w:pPr>
        <w:pStyle w:val="a3"/>
        <w:numPr>
          <w:ilvl w:val="0"/>
          <w:numId w:val="34"/>
        </w:numPr>
        <w:spacing w:after="0" w:line="360" w:lineRule="auto"/>
        <w:ind w:left="0"/>
        <w:jc w:val="both"/>
        <w:rPr>
          <w:rFonts w:ascii="Times New Roman" w:hAnsi="Times New Roman" w:cs="Times New Roman"/>
          <w:bCs/>
          <w:sz w:val="28"/>
          <w:szCs w:val="28"/>
        </w:rPr>
      </w:pPr>
      <w:r w:rsidRPr="001F0139">
        <w:rPr>
          <w:rFonts w:ascii="Times New Roman" w:hAnsi="Times New Roman" w:cs="Times New Roman"/>
          <w:bCs/>
          <w:sz w:val="28"/>
          <w:szCs w:val="28"/>
        </w:rPr>
        <w:t>программа выявления, развития и сопровождения талантливых детей и молодежи;</w:t>
      </w:r>
    </w:p>
    <w:p w:rsidR="009A24B4" w:rsidRPr="001F0139" w:rsidRDefault="009A24B4" w:rsidP="001F0139">
      <w:pPr>
        <w:pStyle w:val="a3"/>
        <w:numPr>
          <w:ilvl w:val="0"/>
          <w:numId w:val="34"/>
        </w:numPr>
        <w:spacing w:after="0" w:line="360" w:lineRule="auto"/>
        <w:ind w:left="0"/>
        <w:jc w:val="both"/>
        <w:rPr>
          <w:rFonts w:ascii="Times New Roman" w:hAnsi="Times New Roman" w:cs="Times New Roman"/>
          <w:bCs/>
          <w:sz w:val="28"/>
          <w:szCs w:val="28"/>
        </w:rPr>
      </w:pPr>
      <w:r w:rsidRPr="001F0139">
        <w:rPr>
          <w:rFonts w:ascii="Times New Roman" w:hAnsi="Times New Roman" w:cs="Times New Roman"/>
          <w:bCs/>
          <w:sz w:val="28"/>
          <w:szCs w:val="28"/>
        </w:rPr>
        <w:t>поддержка культуры двуязычия и поликультурного образования на уровне начального общего, основного общего и среднего общего образования.</w:t>
      </w:r>
    </w:p>
    <w:p w:rsidR="00A65CD4" w:rsidRPr="002760F1" w:rsidRDefault="00A65CD4" w:rsidP="001F0139">
      <w:pPr>
        <w:pStyle w:val="a8"/>
        <w:numPr>
          <w:ilvl w:val="0"/>
          <w:numId w:val="34"/>
        </w:numPr>
        <w:ind w:left="0"/>
        <w:rPr>
          <w:szCs w:val="24"/>
        </w:rPr>
      </w:pPr>
      <w:r w:rsidRPr="001F0139">
        <w:rPr>
          <w:szCs w:val="24"/>
        </w:rPr>
        <w:t xml:space="preserve">строительство образовательного комплекса основного и профессионального образования в селе Камышла муниципального района </w:t>
      </w:r>
      <w:r w:rsidRPr="002760F1">
        <w:rPr>
          <w:szCs w:val="24"/>
        </w:rPr>
        <w:t>Камышлинский;</w:t>
      </w:r>
    </w:p>
    <w:p w:rsidR="009A24B4" w:rsidRPr="00795584" w:rsidRDefault="009A24B4" w:rsidP="001F0139">
      <w:pPr>
        <w:pStyle w:val="a3"/>
        <w:spacing w:after="0" w:line="360" w:lineRule="auto"/>
        <w:ind w:left="0" w:firstLine="709"/>
        <w:jc w:val="both"/>
        <w:rPr>
          <w:rFonts w:ascii="Times New Roman" w:hAnsi="Times New Roman" w:cs="Times New Roman"/>
          <w:b/>
          <w:sz w:val="28"/>
          <w:szCs w:val="28"/>
        </w:rPr>
      </w:pPr>
      <w:r w:rsidRPr="00795584">
        <w:rPr>
          <w:rFonts w:ascii="Times New Roman" w:hAnsi="Times New Roman" w:cs="Times New Roman"/>
          <w:b/>
          <w:sz w:val="28"/>
          <w:szCs w:val="28"/>
        </w:rPr>
        <w:t>Проекты</w:t>
      </w:r>
    </w:p>
    <w:p w:rsidR="00077D58" w:rsidRPr="001F0139" w:rsidRDefault="00077D58" w:rsidP="001F0139">
      <w:pPr>
        <w:spacing w:after="0" w:line="360" w:lineRule="auto"/>
        <w:rPr>
          <w:rFonts w:ascii="Times New Roman" w:hAnsi="Times New Roman" w:cs="Times New Roman"/>
          <w:sz w:val="28"/>
          <w:szCs w:val="28"/>
        </w:rPr>
      </w:pPr>
      <w:r w:rsidRPr="001F0139">
        <w:rPr>
          <w:rFonts w:ascii="Times New Roman" w:hAnsi="Times New Roman" w:cs="Times New Roman"/>
          <w:bCs/>
          <w:sz w:val="28"/>
          <w:szCs w:val="28"/>
          <w:u w:val="single"/>
        </w:rPr>
        <w:t>Проект</w:t>
      </w:r>
      <w:r w:rsidRPr="001F0139">
        <w:rPr>
          <w:rFonts w:ascii="Times New Roman" w:hAnsi="Times New Roman" w:cs="Times New Roman"/>
          <w:sz w:val="28"/>
          <w:szCs w:val="28"/>
        </w:rPr>
        <w:t xml:space="preserve"> «Создание детской школы искусств» (2019-2022 гг)</w:t>
      </w:r>
    </w:p>
    <w:p w:rsidR="00077D58" w:rsidRPr="001F0139" w:rsidRDefault="00077D5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337AC4" w:rsidRPr="001F0139" w:rsidRDefault="00E7443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6.2.</w:t>
      </w:r>
      <w:r w:rsidR="00337AC4" w:rsidRPr="001F0139">
        <w:rPr>
          <w:rFonts w:ascii="Times New Roman" w:hAnsi="Times New Roman" w:cs="Times New Roman"/>
          <w:b/>
          <w:color w:val="365F91" w:themeColor="accent1" w:themeShade="BF"/>
          <w:sz w:val="28"/>
          <w:szCs w:val="28"/>
        </w:rPr>
        <w:t>3</w:t>
      </w:r>
      <w:r w:rsidR="00CB3DA2">
        <w:rPr>
          <w:rFonts w:ascii="Times New Roman" w:hAnsi="Times New Roman" w:cs="Times New Roman"/>
          <w:b/>
          <w:color w:val="365F91" w:themeColor="accent1" w:themeShade="BF"/>
          <w:sz w:val="28"/>
          <w:szCs w:val="28"/>
        </w:rPr>
        <w:t>.</w:t>
      </w:r>
      <w:r w:rsidR="00337AC4" w:rsidRPr="001F0139">
        <w:rPr>
          <w:rFonts w:ascii="Times New Roman" w:hAnsi="Times New Roman" w:cs="Times New Roman"/>
          <w:b/>
          <w:color w:val="365F91" w:themeColor="accent1" w:themeShade="BF"/>
          <w:sz w:val="28"/>
          <w:szCs w:val="28"/>
        </w:rPr>
        <w:t xml:space="preserve"> Развитие кадрового потенциала и инфраструктуры</w:t>
      </w:r>
      <w:r w:rsidR="002760F1">
        <w:rPr>
          <w:rFonts w:ascii="Times New Roman" w:hAnsi="Times New Roman" w:cs="Times New Roman"/>
          <w:b/>
          <w:color w:val="365F91" w:themeColor="accent1" w:themeShade="BF"/>
          <w:sz w:val="28"/>
          <w:szCs w:val="28"/>
        </w:rPr>
        <w:t xml:space="preserve"> </w:t>
      </w:r>
      <w:r w:rsidR="00337AC4" w:rsidRPr="001F0139">
        <w:rPr>
          <w:rFonts w:ascii="Times New Roman" w:hAnsi="Times New Roman" w:cs="Times New Roman"/>
          <w:b/>
          <w:color w:val="365F91" w:themeColor="accent1" w:themeShade="BF"/>
          <w:sz w:val="28"/>
          <w:szCs w:val="28"/>
        </w:rPr>
        <w:t>системы образования, здравоохранения</w:t>
      </w:r>
      <w:r w:rsidR="00B3620A">
        <w:rPr>
          <w:rFonts w:ascii="Times New Roman" w:hAnsi="Times New Roman" w:cs="Times New Roman"/>
          <w:b/>
          <w:color w:val="365F91" w:themeColor="accent1" w:themeShade="BF"/>
          <w:sz w:val="28"/>
          <w:szCs w:val="28"/>
        </w:rPr>
        <w:t>,</w:t>
      </w:r>
      <w:r w:rsidR="00337AC4" w:rsidRPr="001F0139">
        <w:rPr>
          <w:rFonts w:ascii="Times New Roman" w:hAnsi="Times New Roman" w:cs="Times New Roman"/>
          <w:b/>
          <w:color w:val="365F91" w:themeColor="accent1" w:themeShade="BF"/>
          <w:sz w:val="28"/>
          <w:szCs w:val="28"/>
        </w:rPr>
        <w:t xml:space="preserve"> культуры и спорта в районе</w:t>
      </w:r>
    </w:p>
    <w:p w:rsidR="006C73B0" w:rsidRPr="00795584" w:rsidRDefault="006C73B0" w:rsidP="001F0139">
      <w:pPr>
        <w:pStyle w:val="a3"/>
        <w:spacing w:after="0" w:line="360" w:lineRule="auto"/>
        <w:ind w:left="0" w:firstLine="709"/>
        <w:jc w:val="both"/>
        <w:rPr>
          <w:rFonts w:ascii="Times New Roman" w:hAnsi="Times New Roman" w:cs="Times New Roman"/>
          <w:b/>
          <w:sz w:val="28"/>
          <w:szCs w:val="28"/>
        </w:rPr>
      </w:pPr>
      <w:r w:rsidRPr="00795584">
        <w:rPr>
          <w:rFonts w:ascii="Times New Roman" w:hAnsi="Times New Roman" w:cs="Times New Roman"/>
          <w:b/>
          <w:sz w:val="28"/>
          <w:szCs w:val="28"/>
        </w:rPr>
        <w:t>Мероприятия</w:t>
      </w:r>
    </w:p>
    <w:p w:rsidR="006C73B0" w:rsidRPr="001F0139" w:rsidRDefault="00795584" w:rsidP="0079558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1. </w:t>
      </w:r>
      <w:r w:rsidR="006C73B0" w:rsidRPr="001F0139">
        <w:rPr>
          <w:rFonts w:ascii="Times New Roman" w:hAnsi="Times New Roman" w:cs="Times New Roman"/>
          <w:bCs/>
          <w:sz w:val="28"/>
          <w:szCs w:val="28"/>
        </w:rPr>
        <w:t>строительство объектов сферы образования, соответствующих современным стандартам;</w:t>
      </w:r>
    </w:p>
    <w:p w:rsidR="006C73B0" w:rsidRPr="001F0139" w:rsidRDefault="00795584" w:rsidP="0079558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6C73B0" w:rsidRPr="001F0139">
        <w:rPr>
          <w:rFonts w:ascii="Times New Roman" w:hAnsi="Times New Roman" w:cs="Times New Roman"/>
          <w:bCs/>
          <w:sz w:val="28"/>
          <w:szCs w:val="28"/>
        </w:rPr>
        <w:t>создание единого образовательного пространства, ориентированного на индивидуализацию профессионального образования;</w:t>
      </w:r>
    </w:p>
    <w:p w:rsidR="00B3620A" w:rsidRDefault="00795584" w:rsidP="0079558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3. </w:t>
      </w:r>
      <w:r w:rsidR="006C73B0" w:rsidRPr="001F0139">
        <w:rPr>
          <w:rFonts w:ascii="Times New Roman" w:hAnsi="Times New Roman" w:cs="Times New Roman"/>
          <w:bCs/>
          <w:sz w:val="28"/>
          <w:szCs w:val="28"/>
        </w:rPr>
        <w:t xml:space="preserve">создание условий для самообразования и </w:t>
      </w:r>
      <w:r w:rsidR="00B3620A">
        <w:rPr>
          <w:rFonts w:ascii="Times New Roman" w:hAnsi="Times New Roman" w:cs="Times New Roman"/>
          <w:bCs/>
          <w:sz w:val="28"/>
          <w:szCs w:val="28"/>
        </w:rPr>
        <w:t>всестороннего развития личности;</w:t>
      </w:r>
    </w:p>
    <w:p w:rsidR="006C73B0" w:rsidRDefault="00795584" w:rsidP="0079558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4. </w:t>
      </w:r>
      <w:r w:rsidR="006C73B0" w:rsidRPr="001F0139">
        <w:rPr>
          <w:rFonts w:ascii="Times New Roman" w:hAnsi="Times New Roman" w:cs="Times New Roman"/>
          <w:bCs/>
          <w:sz w:val="28"/>
          <w:szCs w:val="28"/>
        </w:rPr>
        <w:t>строительство центра компетенций по рабочим профессиям с современными учебно-тренировочными полигонами.</w:t>
      </w:r>
    </w:p>
    <w:p w:rsidR="006C73B0" w:rsidRPr="001F0139" w:rsidRDefault="006C73B0" w:rsidP="001F0139">
      <w:pPr>
        <w:spacing w:after="0" w:line="360" w:lineRule="auto"/>
        <w:rPr>
          <w:rFonts w:ascii="Times New Roman" w:hAnsi="Times New Roman" w:cs="Times New Roman"/>
          <w:b/>
          <w:bCs/>
          <w:sz w:val="28"/>
          <w:szCs w:val="28"/>
        </w:rPr>
      </w:pPr>
      <w:r w:rsidRPr="001F0139">
        <w:rPr>
          <w:rFonts w:ascii="Times New Roman" w:hAnsi="Times New Roman" w:cs="Times New Roman"/>
          <w:b/>
          <w:bCs/>
          <w:sz w:val="28"/>
          <w:szCs w:val="28"/>
        </w:rPr>
        <w:t xml:space="preserve">Проекты и программы </w:t>
      </w:r>
    </w:p>
    <w:p w:rsidR="00077D58" w:rsidRDefault="00077D58" w:rsidP="001F0139">
      <w:pPr>
        <w:pStyle w:val="a3"/>
        <w:numPr>
          <w:ilvl w:val="0"/>
          <w:numId w:val="27"/>
        </w:numPr>
        <w:spacing w:after="0" w:line="360" w:lineRule="auto"/>
        <w:ind w:left="0"/>
        <w:rPr>
          <w:rFonts w:ascii="Times New Roman" w:hAnsi="Times New Roman" w:cs="Times New Roman"/>
          <w:sz w:val="28"/>
          <w:szCs w:val="28"/>
        </w:rPr>
      </w:pPr>
      <w:r w:rsidRPr="001F0139">
        <w:rPr>
          <w:rFonts w:ascii="Times New Roman" w:hAnsi="Times New Roman" w:cs="Times New Roman"/>
          <w:bCs/>
          <w:sz w:val="28"/>
          <w:szCs w:val="28"/>
          <w:u w:val="single"/>
        </w:rPr>
        <w:t xml:space="preserve">Разработка и реализация муниципальной программы </w:t>
      </w:r>
      <w:r w:rsidRPr="001F0139">
        <w:rPr>
          <w:rFonts w:ascii="Times New Roman" w:hAnsi="Times New Roman" w:cs="Times New Roman"/>
          <w:sz w:val="28"/>
          <w:szCs w:val="28"/>
        </w:rPr>
        <w:t>«Развитие материально-технической базы и кадрового потенциала образования, здравоохранения, культуры и спорта в районе»</w:t>
      </w:r>
    </w:p>
    <w:p w:rsidR="00AE2DFC" w:rsidRDefault="00AE2DFC" w:rsidP="00AE2DFC">
      <w:pPr>
        <w:spacing w:after="0" w:line="360" w:lineRule="auto"/>
        <w:ind w:left="-360"/>
        <w:rPr>
          <w:rFonts w:ascii="Times New Roman" w:hAnsi="Times New Roman" w:cs="Times New Roman"/>
          <w:sz w:val="28"/>
          <w:szCs w:val="28"/>
        </w:rPr>
      </w:pPr>
    </w:p>
    <w:p w:rsidR="00AE2DFC" w:rsidRPr="00AE2DFC" w:rsidRDefault="00AE2DFC" w:rsidP="00AE2DFC">
      <w:pPr>
        <w:spacing w:after="0" w:line="360" w:lineRule="auto"/>
        <w:ind w:left="-360"/>
        <w:rPr>
          <w:rFonts w:ascii="Times New Roman" w:hAnsi="Times New Roman" w:cs="Times New Roman"/>
          <w:sz w:val="28"/>
          <w:szCs w:val="28"/>
        </w:rPr>
      </w:pPr>
    </w:p>
    <w:p w:rsidR="00E74438" w:rsidRPr="001F0139" w:rsidRDefault="00E7443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lastRenderedPageBreak/>
        <w:t>6.2.4.Сохранение здоровья и продление долголетия</w:t>
      </w:r>
    </w:p>
    <w:p w:rsidR="00A478B9" w:rsidRPr="001F0139" w:rsidRDefault="00A478B9" w:rsidP="001F0139">
      <w:pPr>
        <w:pStyle w:val="a3"/>
        <w:spacing w:after="0" w:line="360" w:lineRule="auto"/>
        <w:ind w:left="0" w:firstLine="709"/>
        <w:jc w:val="both"/>
        <w:rPr>
          <w:rFonts w:ascii="Times New Roman" w:hAnsi="Times New Roman" w:cs="Times New Roman"/>
          <w:b/>
          <w:sz w:val="28"/>
          <w:szCs w:val="28"/>
        </w:rPr>
      </w:pPr>
      <w:r w:rsidRPr="001F0139">
        <w:rPr>
          <w:rFonts w:ascii="Times New Roman" w:hAnsi="Times New Roman" w:cs="Times New Roman"/>
          <w:b/>
          <w:sz w:val="28"/>
          <w:szCs w:val="28"/>
        </w:rPr>
        <w:t>Задачи</w:t>
      </w:r>
    </w:p>
    <w:p w:rsidR="00A478B9" w:rsidRPr="001F0139" w:rsidRDefault="00A478B9" w:rsidP="001F0139">
      <w:pPr>
        <w:pStyle w:val="a3"/>
        <w:numPr>
          <w:ilvl w:val="0"/>
          <w:numId w:val="37"/>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t>Повысить мотивацию работодателей к сохранению здоровья работников, созданию условий труда, направленных на предупреждение развития профессиональных и профессионально обусловленных заболеваний.</w:t>
      </w:r>
    </w:p>
    <w:p w:rsidR="00A478B9" w:rsidRPr="001F0139" w:rsidRDefault="00A478B9" w:rsidP="001F0139">
      <w:pPr>
        <w:pStyle w:val="a3"/>
        <w:numPr>
          <w:ilvl w:val="0"/>
          <w:numId w:val="37"/>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t>Сформировать модель ведения здорового образа жизни, создание условий для сохранения здоровья людей.</w:t>
      </w:r>
    </w:p>
    <w:p w:rsidR="00A478B9" w:rsidRPr="001F0139" w:rsidRDefault="00A478B9" w:rsidP="001F0139">
      <w:pPr>
        <w:pStyle w:val="a3"/>
        <w:numPr>
          <w:ilvl w:val="0"/>
          <w:numId w:val="37"/>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t>Просвещение и информирование населения, в том числе детей и молодежи, о правилах здорового образа жизни, о последствиях употребления табака и злоупотребления алкоголем, включая разработку, осуществление и развитие информационных коммуникативных компаний и медиапроектов;</w:t>
      </w:r>
    </w:p>
    <w:p w:rsidR="00A478B9" w:rsidRPr="001F0139" w:rsidRDefault="00A478B9" w:rsidP="001F0139">
      <w:pPr>
        <w:pStyle w:val="a3"/>
        <w:numPr>
          <w:ilvl w:val="0"/>
          <w:numId w:val="37"/>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t>Обеспечение здорового безопасного питания населения всех возрастных групп, предусматривающего оптимизацию режима и характера питания, а также образование и обучение различных групп населения по вопросам здорового питания, в том числе с участием организаций, занимающихся данными вопросами;</w:t>
      </w:r>
    </w:p>
    <w:p w:rsidR="00A478B9" w:rsidRPr="001F0139" w:rsidRDefault="00A478B9" w:rsidP="001F0139">
      <w:pPr>
        <w:pStyle w:val="a3"/>
        <w:numPr>
          <w:ilvl w:val="0"/>
          <w:numId w:val="37"/>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sz w:val="28"/>
          <w:szCs w:val="28"/>
        </w:rPr>
        <w:t>Разработка мер по повышению двигательной активности, которая представляет собой важнейшее условие поддержания здоровья граждан, включая:</w:t>
      </w:r>
    </w:p>
    <w:p w:rsidR="006C73B0" w:rsidRPr="001F0139" w:rsidRDefault="00A478B9" w:rsidP="001F0139">
      <w:pPr>
        <w:pStyle w:val="a3"/>
        <w:spacing w:after="0" w:line="360" w:lineRule="auto"/>
        <w:ind w:left="0" w:firstLine="709"/>
        <w:jc w:val="both"/>
        <w:rPr>
          <w:rFonts w:ascii="Times New Roman" w:hAnsi="Times New Roman" w:cs="Times New Roman"/>
          <w:b/>
          <w:sz w:val="28"/>
          <w:szCs w:val="28"/>
        </w:rPr>
      </w:pPr>
      <w:r w:rsidRPr="001F0139">
        <w:rPr>
          <w:rFonts w:ascii="Times New Roman" w:hAnsi="Times New Roman" w:cs="Times New Roman"/>
          <w:b/>
          <w:sz w:val="28"/>
          <w:szCs w:val="28"/>
        </w:rPr>
        <w:t>Мероприятия</w:t>
      </w:r>
    </w:p>
    <w:p w:rsidR="00A478B9" w:rsidRPr="001F0139" w:rsidRDefault="00A478B9" w:rsidP="001F0139">
      <w:pPr>
        <w:pStyle w:val="a3"/>
        <w:numPr>
          <w:ilvl w:val="0"/>
          <w:numId w:val="37"/>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проведение массовых направленных скринингов (обследований) здоровья;</w:t>
      </w:r>
    </w:p>
    <w:p w:rsidR="00A478B9" w:rsidRPr="001F0139" w:rsidRDefault="00A478B9" w:rsidP="001F0139">
      <w:pPr>
        <w:pStyle w:val="a3"/>
        <w:numPr>
          <w:ilvl w:val="0"/>
          <w:numId w:val="37"/>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диспансерном наблюдении лиц, страдающих хроническими заболеваниями или имеющих серьезный интегративный риск развития острых заболеваний,</w:t>
      </w:r>
    </w:p>
    <w:p w:rsidR="00A478B9" w:rsidRPr="001F0139" w:rsidRDefault="00A478B9" w:rsidP="001F0139">
      <w:pPr>
        <w:pStyle w:val="a3"/>
        <w:numPr>
          <w:ilvl w:val="0"/>
          <w:numId w:val="37"/>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максимально ранней коррекции факторов риска и повышении приверженности населения к лечению болезней на стадиях их максимальной излечимости,</w:t>
      </w:r>
    </w:p>
    <w:p w:rsidR="00A478B9" w:rsidRPr="001F0139" w:rsidRDefault="00A478B9" w:rsidP="001F0139">
      <w:pPr>
        <w:pStyle w:val="a3"/>
        <w:numPr>
          <w:ilvl w:val="0"/>
          <w:numId w:val="37"/>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массовой иммунопрофилактике в рамках Национального Календаря прививок,</w:t>
      </w:r>
    </w:p>
    <w:p w:rsidR="00A478B9" w:rsidRPr="001F0139" w:rsidRDefault="00A478B9" w:rsidP="001F0139">
      <w:pPr>
        <w:pStyle w:val="a3"/>
        <w:numPr>
          <w:ilvl w:val="0"/>
          <w:numId w:val="37"/>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lastRenderedPageBreak/>
        <w:t>координированной, четкой и быстрой работе служб неотложной, скорой и экстренной специализированной медицинской помощи - в случае возникновения острой патологии,</w:t>
      </w:r>
    </w:p>
    <w:p w:rsidR="00A478B9" w:rsidRPr="001F0139" w:rsidRDefault="00A478B9" w:rsidP="001F0139">
      <w:pPr>
        <w:pStyle w:val="a3"/>
        <w:numPr>
          <w:ilvl w:val="0"/>
          <w:numId w:val="37"/>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развитой специализированной медицинской помощи с увеличением доли высокотехнологичной медицинской помощи,</w:t>
      </w:r>
    </w:p>
    <w:p w:rsidR="00A478B9" w:rsidRPr="001F0139" w:rsidRDefault="00A478B9" w:rsidP="001F0139">
      <w:pPr>
        <w:pStyle w:val="a3"/>
        <w:numPr>
          <w:ilvl w:val="0"/>
          <w:numId w:val="37"/>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междисциплинарной медицинской реабилитации</w:t>
      </w:r>
    </w:p>
    <w:p w:rsidR="006C73B0" w:rsidRPr="001F0139" w:rsidRDefault="006C73B0"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E74438" w:rsidRPr="001F0139" w:rsidRDefault="00E7443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6.2.</w:t>
      </w:r>
      <w:r w:rsidR="00A478B9" w:rsidRPr="001F0139">
        <w:rPr>
          <w:rFonts w:ascii="Times New Roman" w:hAnsi="Times New Roman" w:cs="Times New Roman"/>
          <w:b/>
          <w:color w:val="365F91" w:themeColor="accent1" w:themeShade="BF"/>
          <w:sz w:val="28"/>
          <w:szCs w:val="28"/>
        </w:rPr>
        <w:t>5</w:t>
      </w:r>
      <w:r w:rsidRPr="001F0139">
        <w:rPr>
          <w:rFonts w:ascii="Times New Roman" w:hAnsi="Times New Roman" w:cs="Times New Roman"/>
          <w:b/>
          <w:color w:val="365F91" w:themeColor="accent1" w:themeShade="BF"/>
          <w:sz w:val="28"/>
          <w:szCs w:val="28"/>
        </w:rPr>
        <w:t>.</w:t>
      </w:r>
      <w:r w:rsidR="00484848">
        <w:rPr>
          <w:rFonts w:ascii="Times New Roman" w:hAnsi="Times New Roman" w:cs="Times New Roman"/>
          <w:b/>
          <w:color w:val="365F91" w:themeColor="accent1" w:themeShade="BF"/>
          <w:sz w:val="28"/>
          <w:szCs w:val="28"/>
        </w:rPr>
        <w:t xml:space="preserve"> </w:t>
      </w:r>
      <w:r w:rsidRPr="001F0139">
        <w:rPr>
          <w:rFonts w:ascii="Times New Roman" w:hAnsi="Times New Roman" w:cs="Times New Roman"/>
          <w:b/>
          <w:color w:val="365F91" w:themeColor="accent1" w:themeShade="BF"/>
          <w:sz w:val="28"/>
          <w:szCs w:val="28"/>
        </w:rPr>
        <w:t>Качество и разнообразие культурной жизни</w:t>
      </w:r>
      <w:r w:rsidR="00337AC4" w:rsidRPr="001F0139">
        <w:rPr>
          <w:rFonts w:ascii="Times New Roman" w:hAnsi="Times New Roman" w:cs="Times New Roman"/>
          <w:b/>
          <w:color w:val="365F91" w:themeColor="accent1" w:themeShade="BF"/>
          <w:sz w:val="28"/>
          <w:szCs w:val="28"/>
        </w:rPr>
        <w:t>, сохранение, развитие семейных, духовно-нравственных ценностей и здорового образа жизни</w:t>
      </w:r>
    </w:p>
    <w:p w:rsidR="00077D58" w:rsidRPr="002760F1" w:rsidRDefault="00A478B9" w:rsidP="001F0139">
      <w:pPr>
        <w:pStyle w:val="a3"/>
        <w:spacing w:after="0" w:line="360" w:lineRule="auto"/>
        <w:ind w:left="0" w:firstLine="709"/>
        <w:jc w:val="both"/>
        <w:rPr>
          <w:rFonts w:ascii="Times New Roman" w:hAnsi="Times New Roman" w:cs="Times New Roman"/>
          <w:b/>
          <w:sz w:val="28"/>
          <w:szCs w:val="28"/>
        </w:rPr>
      </w:pPr>
      <w:r w:rsidRPr="002760F1">
        <w:rPr>
          <w:rFonts w:ascii="Times New Roman" w:hAnsi="Times New Roman" w:cs="Times New Roman"/>
          <w:b/>
          <w:sz w:val="28"/>
          <w:szCs w:val="28"/>
        </w:rPr>
        <w:t>Мероприятия</w:t>
      </w:r>
    </w:p>
    <w:p w:rsidR="00A478B9" w:rsidRPr="001F0139" w:rsidRDefault="00A478B9" w:rsidP="001F0139">
      <w:pPr>
        <w:pStyle w:val="a3"/>
        <w:numPr>
          <w:ilvl w:val="0"/>
          <w:numId w:val="40"/>
        </w:numPr>
        <w:spacing w:after="0" w:line="360" w:lineRule="auto"/>
        <w:ind w:left="0"/>
        <w:rPr>
          <w:rFonts w:ascii="Times New Roman" w:hAnsi="Times New Roman" w:cs="Times New Roman"/>
          <w:bCs/>
          <w:sz w:val="28"/>
          <w:szCs w:val="28"/>
        </w:rPr>
      </w:pPr>
      <w:r w:rsidRPr="001F0139">
        <w:rPr>
          <w:rFonts w:ascii="Times New Roman" w:hAnsi="Times New Roman" w:cs="Times New Roman"/>
          <w:bCs/>
          <w:sz w:val="28"/>
          <w:szCs w:val="28"/>
        </w:rPr>
        <w:t>реконструкция зданий культурных учреждений, находящихся в неудовлетворительном состоянии и не отвечающих современным требованиям к условиям осуществления культурной деятельности;</w:t>
      </w:r>
    </w:p>
    <w:p w:rsidR="00A478B9" w:rsidRPr="001F0139" w:rsidRDefault="00A478B9" w:rsidP="001F0139">
      <w:pPr>
        <w:pStyle w:val="a3"/>
        <w:numPr>
          <w:ilvl w:val="0"/>
          <w:numId w:val="40"/>
        </w:numPr>
        <w:spacing w:after="0" w:line="360" w:lineRule="auto"/>
        <w:ind w:left="0"/>
        <w:rPr>
          <w:rFonts w:ascii="Times New Roman" w:hAnsi="Times New Roman" w:cs="Times New Roman"/>
          <w:bCs/>
          <w:sz w:val="28"/>
          <w:szCs w:val="28"/>
        </w:rPr>
      </w:pPr>
      <w:r w:rsidRPr="001F0139">
        <w:rPr>
          <w:rFonts w:ascii="Times New Roman" w:hAnsi="Times New Roman" w:cs="Times New Roman"/>
          <w:bCs/>
          <w:sz w:val="28"/>
          <w:szCs w:val="28"/>
        </w:rPr>
        <w:t>популяризация и предоставление новых видов услуг в области культуры с использованием современных информационно-коммуникационных технологий;</w:t>
      </w:r>
    </w:p>
    <w:p w:rsidR="00A478B9" w:rsidRPr="001F0139" w:rsidRDefault="00A478B9" w:rsidP="001F0139">
      <w:pPr>
        <w:pStyle w:val="a3"/>
        <w:numPr>
          <w:ilvl w:val="0"/>
          <w:numId w:val="40"/>
        </w:numPr>
        <w:spacing w:after="0" w:line="360" w:lineRule="auto"/>
        <w:ind w:left="0"/>
        <w:rPr>
          <w:rFonts w:ascii="Times New Roman" w:hAnsi="Times New Roman" w:cs="Times New Roman"/>
          <w:bCs/>
          <w:sz w:val="28"/>
          <w:szCs w:val="28"/>
        </w:rPr>
      </w:pPr>
      <w:r w:rsidRPr="001F0139">
        <w:rPr>
          <w:rFonts w:ascii="Times New Roman" w:hAnsi="Times New Roman" w:cs="Times New Roman"/>
          <w:bCs/>
          <w:sz w:val="28"/>
          <w:szCs w:val="28"/>
        </w:rPr>
        <w:t>обеспечение правовых и экономических условий для кооперации и интеграции образовательных организаций общего и дополнительного образования, учреждений культуры;</w:t>
      </w:r>
    </w:p>
    <w:p w:rsidR="00A478B9" w:rsidRPr="001F0139" w:rsidRDefault="00A478B9" w:rsidP="001F0139">
      <w:pPr>
        <w:pStyle w:val="a3"/>
        <w:numPr>
          <w:ilvl w:val="0"/>
          <w:numId w:val="40"/>
        </w:numPr>
        <w:spacing w:after="0" w:line="360" w:lineRule="auto"/>
        <w:ind w:left="0"/>
        <w:rPr>
          <w:rFonts w:ascii="Times New Roman" w:hAnsi="Times New Roman" w:cs="Times New Roman"/>
          <w:bCs/>
          <w:sz w:val="28"/>
          <w:szCs w:val="28"/>
        </w:rPr>
      </w:pPr>
      <w:r w:rsidRPr="001F0139">
        <w:rPr>
          <w:rFonts w:ascii="Times New Roman" w:hAnsi="Times New Roman" w:cs="Times New Roman"/>
          <w:bCs/>
          <w:sz w:val="28"/>
          <w:szCs w:val="28"/>
        </w:rPr>
        <w:t>использование образовательных, педагогических, научно-методических и материальных ресурсов для развития и реализации творческого потенциала обучающихся в различных видах художест</w:t>
      </w:r>
      <w:r w:rsidR="00421D7C">
        <w:rPr>
          <w:rFonts w:ascii="Times New Roman" w:hAnsi="Times New Roman" w:cs="Times New Roman"/>
          <w:bCs/>
          <w:sz w:val="28"/>
          <w:szCs w:val="28"/>
        </w:rPr>
        <w:t>венно-эстетической деятельности.</w:t>
      </w:r>
    </w:p>
    <w:p w:rsidR="00077D58" w:rsidRPr="00795584" w:rsidRDefault="00077D58" w:rsidP="001F0139">
      <w:pPr>
        <w:pStyle w:val="a3"/>
        <w:spacing w:after="0" w:line="360" w:lineRule="auto"/>
        <w:ind w:left="0" w:firstLine="709"/>
        <w:jc w:val="both"/>
        <w:rPr>
          <w:rFonts w:ascii="Times New Roman" w:hAnsi="Times New Roman" w:cs="Times New Roman"/>
          <w:b/>
          <w:sz w:val="28"/>
          <w:szCs w:val="28"/>
        </w:rPr>
      </w:pPr>
      <w:r w:rsidRPr="00795584">
        <w:rPr>
          <w:rFonts w:ascii="Times New Roman" w:hAnsi="Times New Roman" w:cs="Times New Roman"/>
          <w:b/>
          <w:sz w:val="28"/>
          <w:szCs w:val="28"/>
        </w:rPr>
        <w:t>Проекты и программы</w:t>
      </w:r>
    </w:p>
    <w:p w:rsidR="00077D58" w:rsidRPr="001F0139" w:rsidRDefault="00077D58" w:rsidP="001F0139">
      <w:pPr>
        <w:pStyle w:val="a3"/>
        <w:spacing w:after="0" w:line="360" w:lineRule="auto"/>
        <w:ind w:left="0" w:firstLine="709"/>
        <w:rPr>
          <w:rFonts w:ascii="Times New Roman" w:hAnsi="Times New Roman" w:cs="Times New Roman"/>
          <w:sz w:val="28"/>
          <w:szCs w:val="28"/>
        </w:rPr>
      </w:pPr>
      <w:r w:rsidRPr="001F0139">
        <w:rPr>
          <w:rFonts w:ascii="Times New Roman" w:hAnsi="Times New Roman" w:cs="Times New Roman"/>
          <w:bCs/>
          <w:sz w:val="28"/>
          <w:szCs w:val="28"/>
        </w:rPr>
        <w:t>1</w:t>
      </w:r>
      <w:r w:rsidRPr="001F0139">
        <w:rPr>
          <w:rFonts w:ascii="Times New Roman" w:hAnsi="Times New Roman" w:cs="Times New Roman"/>
          <w:sz w:val="28"/>
          <w:szCs w:val="28"/>
        </w:rPr>
        <w:t>.</w:t>
      </w:r>
      <w:r w:rsidRPr="001F0139">
        <w:rPr>
          <w:rFonts w:ascii="Times New Roman" w:hAnsi="Times New Roman" w:cs="Times New Roman"/>
          <w:bCs/>
          <w:sz w:val="28"/>
          <w:szCs w:val="28"/>
          <w:u w:val="single"/>
        </w:rPr>
        <w:t xml:space="preserve">Проект </w:t>
      </w:r>
      <w:r w:rsidRPr="001F0139">
        <w:rPr>
          <w:rFonts w:ascii="Times New Roman" w:hAnsi="Times New Roman" w:cs="Times New Roman"/>
          <w:sz w:val="28"/>
          <w:szCs w:val="28"/>
        </w:rPr>
        <w:t>«Создание конно-спортивного клуба»</w:t>
      </w:r>
    </w:p>
    <w:p w:rsidR="00077D58" w:rsidRPr="001F0139" w:rsidRDefault="00077D58" w:rsidP="001F0139">
      <w:pPr>
        <w:pStyle w:val="a3"/>
        <w:spacing w:after="0" w:line="360" w:lineRule="auto"/>
        <w:ind w:left="0" w:firstLine="709"/>
        <w:rPr>
          <w:rFonts w:ascii="Times New Roman" w:hAnsi="Times New Roman" w:cs="Times New Roman"/>
          <w:sz w:val="28"/>
          <w:szCs w:val="28"/>
        </w:rPr>
      </w:pPr>
      <w:r w:rsidRPr="001F0139">
        <w:rPr>
          <w:rFonts w:ascii="Times New Roman" w:hAnsi="Times New Roman" w:cs="Times New Roman"/>
          <w:bCs/>
          <w:sz w:val="28"/>
          <w:szCs w:val="28"/>
          <w:u w:val="single"/>
        </w:rPr>
        <w:t>2.Проект</w:t>
      </w:r>
      <w:r w:rsidRPr="001F0139">
        <w:rPr>
          <w:rFonts w:ascii="Times New Roman" w:hAnsi="Times New Roman" w:cs="Times New Roman"/>
          <w:bCs/>
          <w:sz w:val="28"/>
          <w:szCs w:val="28"/>
        </w:rPr>
        <w:t xml:space="preserve"> </w:t>
      </w:r>
      <w:r w:rsidRPr="001F0139">
        <w:rPr>
          <w:rFonts w:ascii="Times New Roman" w:hAnsi="Times New Roman" w:cs="Times New Roman"/>
          <w:sz w:val="28"/>
          <w:szCs w:val="28"/>
        </w:rPr>
        <w:t>«Туристические маршруты «Духовное наследие Камышлинского района»»</w:t>
      </w:r>
    </w:p>
    <w:p w:rsidR="00077D58" w:rsidRDefault="00077D5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AE2DFC" w:rsidRDefault="00AE2DFC"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AE2DFC" w:rsidRPr="001F0139" w:rsidRDefault="00AE2DFC"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E74438" w:rsidRDefault="00E7443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lastRenderedPageBreak/>
        <w:t>6.2.</w:t>
      </w:r>
      <w:r w:rsidR="008D1B35" w:rsidRPr="001F0139">
        <w:rPr>
          <w:rFonts w:ascii="Times New Roman" w:hAnsi="Times New Roman" w:cs="Times New Roman"/>
          <w:b/>
          <w:color w:val="365F91" w:themeColor="accent1" w:themeShade="BF"/>
          <w:sz w:val="28"/>
          <w:szCs w:val="28"/>
        </w:rPr>
        <w:t>6</w:t>
      </w:r>
      <w:r w:rsidRPr="001F0139">
        <w:rPr>
          <w:rFonts w:ascii="Times New Roman" w:hAnsi="Times New Roman" w:cs="Times New Roman"/>
          <w:b/>
          <w:color w:val="365F91" w:themeColor="accent1" w:themeShade="BF"/>
          <w:sz w:val="28"/>
          <w:szCs w:val="28"/>
        </w:rPr>
        <w:t>. Вовлечение населения в спортивные мероприятия</w:t>
      </w:r>
    </w:p>
    <w:p w:rsidR="00795584" w:rsidRPr="002760F1" w:rsidRDefault="00795584" w:rsidP="00795584">
      <w:pPr>
        <w:pStyle w:val="a3"/>
        <w:spacing w:after="0" w:line="360" w:lineRule="auto"/>
        <w:ind w:left="0" w:firstLine="709"/>
        <w:jc w:val="both"/>
        <w:rPr>
          <w:rFonts w:ascii="Times New Roman" w:hAnsi="Times New Roman" w:cs="Times New Roman"/>
          <w:b/>
          <w:sz w:val="28"/>
          <w:szCs w:val="28"/>
        </w:rPr>
      </w:pPr>
      <w:r w:rsidRPr="002760F1">
        <w:rPr>
          <w:rFonts w:ascii="Times New Roman" w:hAnsi="Times New Roman" w:cs="Times New Roman"/>
          <w:b/>
          <w:sz w:val="28"/>
          <w:szCs w:val="28"/>
        </w:rPr>
        <w:t>Мероприятия</w:t>
      </w:r>
    </w:p>
    <w:p w:rsidR="00A478B9" w:rsidRPr="001F0139" w:rsidRDefault="00A478B9" w:rsidP="0086595F">
      <w:pPr>
        <w:pStyle w:val="a3"/>
        <w:numPr>
          <w:ilvl w:val="0"/>
          <w:numId w:val="44"/>
        </w:numPr>
        <w:spacing w:after="0" w:line="360" w:lineRule="auto"/>
        <w:ind w:left="851" w:hanging="567"/>
        <w:rPr>
          <w:rFonts w:ascii="Times New Roman" w:hAnsi="Times New Roman" w:cs="Times New Roman"/>
          <w:bCs/>
          <w:sz w:val="28"/>
          <w:szCs w:val="28"/>
        </w:rPr>
      </w:pPr>
      <w:r w:rsidRPr="001F0139">
        <w:rPr>
          <w:rFonts w:ascii="Times New Roman" w:hAnsi="Times New Roman" w:cs="Times New Roman"/>
          <w:bCs/>
          <w:sz w:val="28"/>
          <w:szCs w:val="28"/>
        </w:rPr>
        <w:t>Строительство спортивно-оздоровительного центра с бассейном в</w:t>
      </w:r>
      <w:r w:rsidR="002760F1">
        <w:rPr>
          <w:rFonts w:ascii="Times New Roman" w:hAnsi="Times New Roman" w:cs="Times New Roman"/>
          <w:bCs/>
          <w:sz w:val="28"/>
          <w:szCs w:val="28"/>
        </w:rPr>
        <w:t xml:space="preserve"> </w:t>
      </w:r>
      <w:r w:rsidRPr="001F0139">
        <w:rPr>
          <w:rFonts w:ascii="Times New Roman" w:hAnsi="Times New Roman" w:cs="Times New Roman"/>
          <w:bCs/>
          <w:sz w:val="28"/>
          <w:szCs w:val="28"/>
        </w:rPr>
        <w:t>селе Новое Усманово.</w:t>
      </w:r>
    </w:p>
    <w:p w:rsidR="00A478B9" w:rsidRPr="001F0139" w:rsidRDefault="00A478B9" w:rsidP="0086595F">
      <w:pPr>
        <w:pStyle w:val="a3"/>
        <w:numPr>
          <w:ilvl w:val="0"/>
          <w:numId w:val="44"/>
        </w:numPr>
        <w:spacing w:after="0" w:line="360" w:lineRule="auto"/>
        <w:ind w:left="851" w:hanging="567"/>
        <w:rPr>
          <w:rFonts w:ascii="Times New Roman" w:hAnsi="Times New Roman" w:cs="Times New Roman"/>
          <w:bCs/>
          <w:sz w:val="28"/>
          <w:szCs w:val="28"/>
        </w:rPr>
      </w:pPr>
      <w:r w:rsidRPr="001F0139">
        <w:rPr>
          <w:rFonts w:ascii="Times New Roman" w:hAnsi="Times New Roman" w:cs="Times New Roman"/>
          <w:bCs/>
          <w:sz w:val="28"/>
          <w:szCs w:val="28"/>
        </w:rPr>
        <w:t>Строительство бассейна и стадиона-площадки в селе Старое Ермаково.</w:t>
      </w:r>
    </w:p>
    <w:p w:rsidR="00A478B9" w:rsidRPr="001F0139" w:rsidRDefault="00A478B9" w:rsidP="0086595F">
      <w:pPr>
        <w:pStyle w:val="a3"/>
        <w:numPr>
          <w:ilvl w:val="0"/>
          <w:numId w:val="44"/>
        </w:numPr>
        <w:spacing w:after="0" w:line="360" w:lineRule="auto"/>
        <w:ind w:left="851" w:hanging="567"/>
        <w:rPr>
          <w:rFonts w:ascii="Times New Roman" w:hAnsi="Times New Roman" w:cs="Times New Roman"/>
          <w:bCs/>
          <w:sz w:val="28"/>
          <w:szCs w:val="28"/>
        </w:rPr>
      </w:pPr>
      <w:r w:rsidRPr="001F0139">
        <w:rPr>
          <w:rFonts w:ascii="Times New Roman" w:hAnsi="Times New Roman" w:cs="Times New Roman"/>
          <w:bCs/>
          <w:sz w:val="28"/>
          <w:szCs w:val="28"/>
        </w:rPr>
        <w:t xml:space="preserve">Строительство физкультурно-оздоровительных комплексов при общеобразовательных учреждениях (начального общего, основного общего, среднего (полного) общего образования) в селах Старое Усманово, Никиткино и </w:t>
      </w:r>
      <w:r w:rsidR="0046792D">
        <w:rPr>
          <w:rFonts w:ascii="Times New Roman" w:hAnsi="Times New Roman" w:cs="Times New Roman"/>
          <w:bCs/>
          <w:sz w:val="28"/>
          <w:szCs w:val="28"/>
        </w:rPr>
        <w:t>п</w:t>
      </w:r>
      <w:r w:rsidRPr="001F0139">
        <w:rPr>
          <w:rFonts w:ascii="Times New Roman" w:hAnsi="Times New Roman" w:cs="Times New Roman"/>
          <w:bCs/>
          <w:sz w:val="28"/>
          <w:szCs w:val="28"/>
        </w:rPr>
        <w:t>оселке Чулпан.</w:t>
      </w:r>
    </w:p>
    <w:p w:rsidR="00A478B9" w:rsidRPr="001F0139" w:rsidRDefault="00A478B9" w:rsidP="0086595F">
      <w:pPr>
        <w:pStyle w:val="a3"/>
        <w:numPr>
          <w:ilvl w:val="0"/>
          <w:numId w:val="44"/>
        </w:numPr>
        <w:spacing w:after="0" w:line="360" w:lineRule="auto"/>
        <w:ind w:left="851" w:hanging="567"/>
        <w:rPr>
          <w:rFonts w:ascii="Times New Roman" w:hAnsi="Times New Roman" w:cs="Times New Roman"/>
          <w:bCs/>
          <w:sz w:val="28"/>
          <w:szCs w:val="28"/>
        </w:rPr>
      </w:pPr>
      <w:r w:rsidRPr="001F0139">
        <w:rPr>
          <w:rFonts w:ascii="Times New Roman" w:hAnsi="Times New Roman" w:cs="Times New Roman"/>
          <w:bCs/>
          <w:sz w:val="28"/>
          <w:szCs w:val="28"/>
        </w:rPr>
        <w:t>Строительство физкультурно-оздоровительного комплекса со спортивным залом в селе Камышла.</w:t>
      </w:r>
    </w:p>
    <w:p w:rsidR="00A478B9" w:rsidRPr="001F0139" w:rsidRDefault="00A478B9" w:rsidP="0086595F">
      <w:pPr>
        <w:pStyle w:val="a3"/>
        <w:numPr>
          <w:ilvl w:val="0"/>
          <w:numId w:val="44"/>
        </w:numPr>
        <w:spacing w:after="0" w:line="360" w:lineRule="auto"/>
        <w:ind w:left="851" w:hanging="567"/>
        <w:rPr>
          <w:rFonts w:ascii="Times New Roman" w:hAnsi="Times New Roman" w:cs="Times New Roman"/>
          <w:bCs/>
          <w:sz w:val="28"/>
          <w:szCs w:val="28"/>
        </w:rPr>
      </w:pPr>
      <w:r w:rsidRPr="001F0139">
        <w:rPr>
          <w:rFonts w:ascii="Times New Roman" w:hAnsi="Times New Roman" w:cs="Times New Roman"/>
          <w:bCs/>
          <w:sz w:val="28"/>
          <w:szCs w:val="28"/>
        </w:rPr>
        <w:t>Строительство плоскостных спортивных сооружений в селах Старая Балыкла, Старое Усманово, Новое Усманово, Камышла.</w:t>
      </w:r>
    </w:p>
    <w:p w:rsidR="00077D58" w:rsidRPr="00795584" w:rsidRDefault="00077D58" w:rsidP="001F0139">
      <w:pPr>
        <w:pStyle w:val="a3"/>
        <w:spacing w:after="0" w:line="360" w:lineRule="auto"/>
        <w:ind w:left="0" w:firstLine="709"/>
        <w:jc w:val="both"/>
        <w:rPr>
          <w:rFonts w:ascii="Times New Roman" w:hAnsi="Times New Roman" w:cs="Times New Roman"/>
          <w:b/>
          <w:sz w:val="28"/>
          <w:szCs w:val="28"/>
        </w:rPr>
      </w:pPr>
      <w:r w:rsidRPr="00795584">
        <w:rPr>
          <w:rFonts w:ascii="Times New Roman" w:hAnsi="Times New Roman" w:cs="Times New Roman"/>
          <w:b/>
          <w:sz w:val="28"/>
          <w:szCs w:val="28"/>
        </w:rPr>
        <w:t>Проекты и программы</w:t>
      </w:r>
    </w:p>
    <w:p w:rsidR="00077D58" w:rsidRPr="001F0139" w:rsidRDefault="00077D58" w:rsidP="001F0139">
      <w:pPr>
        <w:pStyle w:val="a3"/>
        <w:spacing w:after="0" w:line="360" w:lineRule="auto"/>
        <w:ind w:left="0"/>
        <w:rPr>
          <w:rFonts w:ascii="Times New Roman" w:hAnsi="Times New Roman" w:cs="Times New Roman"/>
          <w:sz w:val="28"/>
          <w:szCs w:val="28"/>
        </w:rPr>
      </w:pPr>
      <w:r w:rsidRPr="001F0139">
        <w:rPr>
          <w:rFonts w:ascii="Times New Roman" w:hAnsi="Times New Roman" w:cs="Times New Roman"/>
          <w:bCs/>
          <w:sz w:val="28"/>
          <w:szCs w:val="28"/>
          <w:u w:val="single"/>
        </w:rPr>
        <w:t>Проект</w:t>
      </w:r>
      <w:r w:rsidRPr="001F0139">
        <w:rPr>
          <w:rFonts w:ascii="Times New Roman" w:hAnsi="Times New Roman" w:cs="Times New Roman"/>
          <w:sz w:val="28"/>
          <w:szCs w:val="28"/>
        </w:rPr>
        <w:t xml:space="preserve"> «Строительство конезавода для активизации конного спорта в районе» (2021-2025 гг)</w:t>
      </w:r>
    </w:p>
    <w:p w:rsidR="00077D58" w:rsidRPr="001F0139" w:rsidRDefault="00077D5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337AC4" w:rsidRPr="001F0139" w:rsidRDefault="00337AC4"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6.2.</w:t>
      </w:r>
      <w:r w:rsidR="008D1B35" w:rsidRPr="001F0139">
        <w:rPr>
          <w:rFonts w:ascii="Times New Roman" w:hAnsi="Times New Roman" w:cs="Times New Roman"/>
          <w:b/>
          <w:color w:val="365F91" w:themeColor="accent1" w:themeShade="BF"/>
          <w:sz w:val="28"/>
          <w:szCs w:val="28"/>
        </w:rPr>
        <w:t>7</w:t>
      </w:r>
      <w:r w:rsidRPr="001F0139">
        <w:rPr>
          <w:rFonts w:ascii="Times New Roman" w:hAnsi="Times New Roman" w:cs="Times New Roman"/>
          <w:b/>
          <w:color w:val="365F91" w:themeColor="accent1" w:themeShade="BF"/>
          <w:sz w:val="28"/>
          <w:szCs w:val="28"/>
        </w:rPr>
        <w:t>. Создание и развитие информационно-коммуникационной среды района</w:t>
      </w:r>
    </w:p>
    <w:p w:rsidR="00077D58" w:rsidRPr="00705A44" w:rsidRDefault="00077D58" w:rsidP="001F0139">
      <w:pPr>
        <w:pStyle w:val="a3"/>
        <w:spacing w:after="0" w:line="360" w:lineRule="auto"/>
        <w:ind w:left="0" w:firstLine="709"/>
        <w:jc w:val="both"/>
        <w:rPr>
          <w:rFonts w:ascii="Times New Roman" w:hAnsi="Times New Roman" w:cs="Times New Roman"/>
          <w:b/>
          <w:sz w:val="28"/>
          <w:szCs w:val="28"/>
        </w:rPr>
      </w:pPr>
      <w:r w:rsidRPr="00705A44">
        <w:rPr>
          <w:rFonts w:ascii="Times New Roman" w:hAnsi="Times New Roman" w:cs="Times New Roman"/>
          <w:b/>
          <w:sz w:val="28"/>
          <w:szCs w:val="28"/>
        </w:rPr>
        <w:t>Проект</w:t>
      </w:r>
      <w:r w:rsidR="008D1B35" w:rsidRPr="00705A44">
        <w:rPr>
          <w:rFonts w:ascii="Times New Roman" w:hAnsi="Times New Roman" w:cs="Times New Roman"/>
          <w:b/>
          <w:sz w:val="28"/>
          <w:szCs w:val="28"/>
        </w:rPr>
        <w:t>ы</w:t>
      </w:r>
      <w:r w:rsidRPr="00705A44">
        <w:rPr>
          <w:rFonts w:ascii="Times New Roman" w:hAnsi="Times New Roman" w:cs="Times New Roman"/>
          <w:b/>
          <w:sz w:val="28"/>
          <w:szCs w:val="28"/>
        </w:rPr>
        <w:t xml:space="preserve"> и программы</w:t>
      </w:r>
    </w:p>
    <w:p w:rsidR="00077D58" w:rsidRPr="001F0139" w:rsidRDefault="00077D58" w:rsidP="001F0139">
      <w:pPr>
        <w:pStyle w:val="a3"/>
        <w:numPr>
          <w:ilvl w:val="0"/>
          <w:numId w:val="24"/>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bCs/>
          <w:sz w:val="28"/>
          <w:szCs w:val="28"/>
          <w:u w:val="single"/>
        </w:rPr>
        <w:t xml:space="preserve">Проект </w:t>
      </w:r>
      <w:r w:rsidRPr="001F0139">
        <w:rPr>
          <w:rFonts w:ascii="Times New Roman" w:hAnsi="Times New Roman" w:cs="Times New Roman"/>
          <w:sz w:val="28"/>
          <w:szCs w:val="28"/>
        </w:rPr>
        <w:t xml:space="preserve">на основе государственно-частного партнерства «Обеспечение всех населенных пунктов района качественной мобильной связью и Интернет» </w:t>
      </w:r>
    </w:p>
    <w:p w:rsidR="00077D58" w:rsidRPr="001F0139" w:rsidRDefault="00077D58" w:rsidP="001F0139">
      <w:pPr>
        <w:pStyle w:val="a3"/>
        <w:numPr>
          <w:ilvl w:val="0"/>
          <w:numId w:val="24"/>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bCs/>
          <w:sz w:val="28"/>
          <w:szCs w:val="28"/>
          <w:u w:val="single"/>
        </w:rPr>
        <w:t>Проект</w:t>
      </w:r>
      <w:r w:rsidRPr="001F0139">
        <w:rPr>
          <w:rFonts w:ascii="Times New Roman" w:hAnsi="Times New Roman" w:cs="Times New Roman"/>
          <w:sz w:val="28"/>
          <w:szCs w:val="28"/>
        </w:rPr>
        <w:t xml:space="preserve"> «Развитие местного радио- и телевещания»</w:t>
      </w:r>
    </w:p>
    <w:p w:rsidR="00077D58" w:rsidRPr="001F0139" w:rsidRDefault="00077D58" w:rsidP="001F0139">
      <w:pPr>
        <w:pStyle w:val="a3"/>
        <w:numPr>
          <w:ilvl w:val="0"/>
          <w:numId w:val="24"/>
        </w:numPr>
        <w:spacing w:after="0" w:line="360" w:lineRule="auto"/>
        <w:ind w:left="0"/>
        <w:jc w:val="both"/>
        <w:rPr>
          <w:rFonts w:ascii="Times New Roman" w:hAnsi="Times New Roman" w:cs="Times New Roman"/>
          <w:sz w:val="28"/>
          <w:szCs w:val="28"/>
        </w:rPr>
      </w:pPr>
      <w:r w:rsidRPr="001F0139">
        <w:rPr>
          <w:rFonts w:ascii="Times New Roman" w:hAnsi="Times New Roman" w:cs="Times New Roman"/>
          <w:bCs/>
          <w:sz w:val="28"/>
          <w:szCs w:val="28"/>
          <w:u w:val="single"/>
        </w:rPr>
        <w:t>Проект</w:t>
      </w:r>
      <w:r w:rsidRPr="001F0139">
        <w:rPr>
          <w:rFonts w:ascii="Times New Roman" w:hAnsi="Times New Roman" w:cs="Times New Roman"/>
          <w:sz w:val="28"/>
          <w:szCs w:val="28"/>
        </w:rPr>
        <w:t xml:space="preserve"> «Создание культурно-образовательного портала района»</w:t>
      </w:r>
    </w:p>
    <w:p w:rsidR="00077D58" w:rsidRPr="001F0139" w:rsidRDefault="00077D5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302E87" w:rsidRPr="001F0139" w:rsidRDefault="00302E87"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Ожидаемые результаты</w:t>
      </w:r>
    </w:p>
    <w:tbl>
      <w:tblPr>
        <w:tblStyle w:val="a9"/>
        <w:tblW w:w="0" w:type="auto"/>
        <w:jc w:val="center"/>
        <w:tblLook w:val="04A0" w:firstRow="1" w:lastRow="0" w:firstColumn="1" w:lastColumn="0" w:noHBand="0" w:noVBand="1"/>
      </w:tblPr>
      <w:tblGrid>
        <w:gridCol w:w="2509"/>
        <w:gridCol w:w="675"/>
        <w:gridCol w:w="1630"/>
        <w:gridCol w:w="865"/>
        <w:gridCol w:w="865"/>
        <w:gridCol w:w="865"/>
      </w:tblGrid>
      <w:tr w:rsidR="00302E87" w:rsidRPr="001F0139" w:rsidTr="00A722E5">
        <w:trPr>
          <w:jc w:val="center"/>
        </w:trPr>
        <w:tc>
          <w:tcPr>
            <w:tcW w:w="2509" w:type="dxa"/>
            <w:shd w:val="clear" w:color="auto" w:fill="C00000"/>
          </w:tcPr>
          <w:p w:rsidR="00302E87" w:rsidRPr="001F0139" w:rsidRDefault="00302E87" w:rsidP="001F0139">
            <w:pPr>
              <w:jc w:val="center"/>
              <w:rPr>
                <w:rFonts w:ascii="Times New Roman" w:hAnsi="Times New Roman" w:cs="Times New Roman"/>
                <w:b/>
                <w:sz w:val="24"/>
                <w:szCs w:val="24"/>
              </w:rPr>
            </w:pPr>
            <w:r w:rsidRPr="001F0139">
              <w:rPr>
                <w:rFonts w:ascii="Times New Roman" w:hAnsi="Times New Roman" w:cs="Times New Roman"/>
                <w:b/>
                <w:sz w:val="24"/>
                <w:szCs w:val="24"/>
              </w:rPr>
              <w:t>Целевой показатель</w:t>
            </w:r>
          </w:p>
        </w:tc>
        <w:tc>
          <w:tcPr>
            <w:tcW w:w="675" w:type="dxa"/>
            <w:shd w:val="clear" w:color="auto" w:fill="C00000"/>
          </w:tcPr>
          <w:p w:rsidR="00302E87" w:rsidRPr="001F0139" w:rsidRDefault="00302E87" w:rsidP="001F0139">
            <w:pPr>
              <w:jc w:val="center"/>
              <w:rPr>
                <w:rFonts w:ascii="Times New Roman" w:hAnsi="Times New Roman" w:cs="Times New Roman"/>
                <w:b/>
                <w:sz w:val="24"/>
                <w:szCs w:val="24"/>
              </w:rPr>
            </w:pPr>
            <w:r w:rsidRPr="001F0139">
              <w:rPr>
                <w:rFonts w:ascii="Times New Roman" w:hAnsi="Times New Roman" w:cs="Times New Roman"/>
                <w:b/>
                <w:sz w:val="24"/>
                <w:szCs w:val="24"/>
              </w:rPr>
              <w:t>Ед. изм.</w:t>
            </w:r>
          </w:p>
        </w:tc>
        <w:tc>
          <w:tcPr>
            <w:tcW w:w="1630" w:type="dxa"/>
            <w:shd w:val="clear" w:color="auto" w:fill="C00000"/>
            <w:vAlign w:val="center"/>
          </w:tcPr>
          <w:p w:rsidR="00302E87" w:rsidRPr="001F0139" w:rsidRDefault="00302E87" w:rsidP="001F0139">
            <w:pPr>
              <w:jc w:val="center"/>
              <w:rPr>
                <w:rFonts w:ascii="Times New Roman" w:hAnsi="Times New Roman" w:cs="Times New Roman"/>
                <w:b/>
                <w:sz w:val="24"/>
                <w:szCs w:val="24"/>
              </w:rPr>
            </w:pPr>
            <w:r w:rsidRPr="001F0139">
              <w:rPr>
                <w:rFonts w:ascii="Times New Roman" w:hAnsi="Times New Roman" w:cs="Times New Roman"/>
                <w:b/>
                <w:sz w:val="24"/>
                <w:szCs w:val="24"/>
              </w:rPr>
              <w:t>Сценарий</w:t>
            </w:r>
          </w:p>
        </w:tc>
        <w:tc>
          <w:tcPr>
            <w:tcW w:w="865" w:type="dxa"/>
            <w:shd w:val="clear" w:color="auto" w:fill="C00000"/>
          </w:tcPr>
          <w:p w:rsidR="00302E87" w:rsidRPr="001F0139" w:rsidRDefault="00302E87" w:rsidP="001F0139">
            <w:pPr>
              <w:rPr>
                <w:rFonts w:ascii="Times New Roman" w:hAnsi="Times New Roman" w:cs="Times New Roman"/>
                <w:b/>
                <w:sz w:val="24"/>
                <w:szCs w:val="24"/>
              </w:rPr>
            </w:pPr>
            <w:r w:rsidRPr="001F0139">
              <w:rPr>
                <w:rFonts w:ascii="Times New Roman" w:hAnsi="Times New Roman" w:cs="Times New Roman"/>
                <w:b/>
                <w:sz w:val="24"/>
                <w:szCs w:val="24"/>
              </w:rPr>
              <w:t>2020г.</w:t>
            </w:r>
          </w:p>
        </w:tc>
        <w:tc>
          <w:tcPr>
            <w:tcW w:w="865" w:type="dxa"/>
            <w:shd w:val="clear" w:color="auto" w:fill="C00000"/>
          </w:tcPr>
          <w:p w:rsidR="00302E87" w:rsidRPr="001F0139" w:rsidRDefault="00302E87" w:rsidP="001F0139">
            <w:pPr>
              <w:rPr>
                <w:rFonts w:ascii="Times New Roman" w:hAnsi="Times New Roman" w:cs="Times New Roman"/>
                <w:b/>
                <w:sz w:val="24"/>
                <w:szCs w:val="24"/>
              </w:rPr>
            </w:pPr>
            <w:r w:rsidRPr="001F0139">
              <w:rPr>
                <w:rFonts w:ascii="Times New Roman" w:hAnsi="Times New Roman" w:cs="Times New Roman"/>
                <w:b/>
                <w:sz w:val="24"/>
                <w:szCs w:val="24"/>
              </w:rPr>
              <w:t>2025г.</w:t>
            </w:r>
          </w:p>
        </w:tc>
        <w:tc>
          <w:tcPr>
            <w:tcW w:w="865" w:type="dxa"/>
            <w:shd w:val="clear" w:color="auto" w:fill="C00000"/>
          </w:tcPr>
          <w:p w:rsidR="00302E87" w:rsidRPr="001F0139" w:rsidRDefault="00302E87" w:rsidP="001F0139">
            <w:pPr>
              <w:rPr>
                <w:rFonts w:ascii="Times New Roman" w:hAnsi="Times New Roman" w:cs="Times New Roman"/>
                <w:b/>
                <w:sz w:val="24"/>
                <w:szCs w:val="24"/>
              </w:rPr>
            </w:pPr>
            <w:r w:rsidRPr="001F0139">
              <w:rPr>
                <w:rFonts w:ascii="Times New Roman" w:hAnsi="Times New Roman" w:cs="Times New Roman"/>
                <w:b/>
                <w:sz w:val="24"/>
                <w:szCs w:val="24"/>
              </w:rPr>
              <w:t>2030г.</w:t>
            </w:r>
          </w:p>
        </w:tc>
      </w:tr>
      <w:tr w:rsidR="00302E87" w:rsidRPr="001F0139" w:rsidTr="00A722E5">
        <w:trPr>
          <w:trHeight w:val="439"/>
          <w:jc w:val="center"/>
        </w:trPr>
        <w:tc>
          <w:tcPr>
            <w:tcW w:w="2509" w:type="dxa"/>
            <w:vMerge w:val="restart"/>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 xml:space="preserve">доля выпускников общеобразовательных организаций, сдавших </w:t>
            </w:r>
            <w:r w:rsidRPr="001F0139">
              <w:rPr>
                <w:rFonts w:ascii="Times New Roman" w:hAnsi="Times New Roman" w:cs="Times New Roman"/>
                <w:sz w:val="24"/>
                <w:szCs w:val="24"/>
              </w:rPr>
              <w:lastRenderedPageBreak/>
              <w:t>единый государственный экзамен</w:t>
            </w:r>
          </w:p>
        </w:tc>
        <w:tc>
          <w:tcPr>
            <w:tcW w:w="675" w:type="dxa"/>
            <w:vMerge w:val="restart"/>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lastRenderedPageBreak/>
              <w:t>%</w:t>
            </w:r>
          </w:p>
        </w:tc>
        <w:tc>
          <w:tcPr>
            <w:tcW w:w="1630"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инерционный</w:t>
            </w:r>
          </w:p>
        </w:tc>
        <w:tc>
          <w:tcPr>
            <w:tcW w:w="865"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68%</w:t>
            </w:r>
          </w:p>
        </w:tc>
        <w:tc>
          <w:tcPr>
            <w:tcW w:w="865"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79%</w:t>
            </w:r>
          </w:p>
        </w:tc>
        <w:tc>
          <w:tcPr>
            <w:tcW w:w="865"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90%</w:t>
            </w:r>
          </w:p>
        </w:tc>
      </w:tr>
      <w:tr w:rsidR="00302E87" w:rsidRPr="001F0139" w:rsidTr="00A722E5">
        <w:trPr>
          <w:jc w:val="center"/>
        </w:trPr>
        <w:tc>
          <w:tcPr>
            <w:tcW w:w="2509" w:type="dxa"/>
            <w:vMerge/>
          </w:tcPr>
          <w:p w:rsidR="00302E87" w:rsidRPr="001F0139" w:rsidRDefault="00302E87" w:rsidP="001F0139">
            <w:pPr>
              <w:jc w:val="both"/>
              <w:rPr>
                <w:rFonts w:ascii="Times New Roman" w:hAnsi="Times New Roman" w:cs="Times New Roman"/>
                <w:sz w:val="24"/>
                <w:szCs w:val="24"/>
              </w:rPr>
            </w:pPr>
          </w:p>
        </w:tc>
        <w:tc>
          <w:tcPr>
            <w:tcW w:w="675" w:type="dxa"/>
            <w:vMerge/>
            <w:vAlign w:val="center"/>
          </w:tcPr>
          <w:p w:rsidR="00302E87" w:rsidRPr="001F0139" w:rsidRDefault="00302E87" w:rsidP="001F0139">
            <w:pPr>
              <w:jc w:val="both"/>
              <w:rPr>
                <w:rFonts w:ascii="Times New Roman" w:hAnsi="Times New Roman" w:cs="Times New Roman"/>
                <w:sz w:val="24"/>
                <w:szCs w:val="24"/>
              </w:rPr>
            </w:pPr>
          </w:p>
        </w:tc>
        <w:tc>
          <w:tcPr>
            <w:tcW w:w="1630"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 xml:space="preserve">целевой </w:t>
            </w:r>
          </w:p>
        </w:tc>
        <w:tc>
          <w:tcPr>
            <w:tcW w:w="865"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70%</w:t>
            </w:r>
          </w:p>
        </w:tc>
        <w:tc>
          <w:tcPr>
            <w:tcW w:w="865"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80%</w:t>
            </w:r>
          </w:p>
        </w:tc>
        <w:tc>
          <w:tcPr>
            <w:tcW w:w="865" w:type="dxa"/>
            <w:vAlign w:val="center"/>
          </w:tcPr>
          <w:p w:rsidR="00302E87" w:rsidRPr="001F0139" w:rsidRDefault="00302E87" w:rsidP="001F0139">
            <w:pPr>
              <w:pStyle w:val="Default"/>
              <w:spacing w:line="360" w:lineRule="auto"/>
              <w:ind w:firstLine="709"/>
              <w:jc w:val="both"/>
              <w:rPr>
                <w:color w:val="auto"/>
              </w:rPr>
            </w:pPr>
            <w:r w:rsidRPr="001F0139">
              <w:rPr>
                <w:color w:val="auto"/>
              </w:rPr>
              <w:t>9</w:t>
            </w:r>
            <w:r w:rsidRPr="001F0139">
              <w:rPr>
                <w:color w:val="auto"/>
              </w:rPr>
              <w:lastRenderedPageBreak/>
              <w:t xml:space="preserve">98%. </w:t>
            </w:r>
          </w:p>
          <w:p w:rsidR="00302E87" w:rsidRPr="001F0139" w:rsidRDefault="00302E87" w:rsidP="001F0139">
            <w:pPr>
              <w:jc w:val="both"/>
              <w:rPr>
                <w:rFonts w:ascii="Times New Roman" w:hAnsi="Times New Roman" w:cs="Times New Roman"/>
                <w:sz w:val="24"/>
                <w:szCs w:val="24"/>
              </w:rPr>
            </w:pPr>
          </w:p>
        </w:tc>
      </w:tr>
      <w:tr w:rsidR="00302E87" w:rsidRPr="001F0139" w:rsidTr="00A722E5">
        <w:trPr>
          <w:trHeight w:val="1767"/>
          <w:jc w:val="center"/>
        </w:trPr>
        <w:tc>
          <w:tcPr>
            <w:tcW w:w="2509" w:type="dxa"/>
            <w:vMerge w:val="restart"/>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lastRenderedPageBreak/>
              <w:t>удельный вес численности выпускников профессиональных образовательных учреждений, трудоустроившихся в течение одного года после окончания обучения по полученной специальности (профес</w:t>
            </w:r>
            <w:r w:rsidRPr="001F0139">
              <w:rPr>
                <w:rFonts w:ascii="Times New Roman" w:hAnsi="Times New Roman" w:cs="Times New Roman"/>
                <w:sz w:val="24"/>
                <w:szCs w:val="24"/>
              </w:rPr>
              <w:softHyphen/>
              <w:t>сии), в общей их численности -.</w:t>
            </w:r>
          </w:p>
          <w:p w:rsidR="00302E87" w:rsidRPr="001F0139" w:rsidRDefault="00302E87" w:rsidP="001F0139">
            <w:pPr>
              <w:jc w:val="both"/>
              <w:rPr>
                <w:rFonts w:ascii="Times New Roman" w:hAnsi="Times New Roman" w:cs="Times New Roman"/>
                <w:sz w:val="24"/>
                <w:szCs w:val="24"/>
              </w:rPr>
            </w:pPr>
          </w:p>
        </w:tc>
        <w:tc>
          <w:tcPr>
            <w:tcW w:w="675" w:type="dxa"/>
            <w:vMerge w:val="restart"/>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w:t>
            </w:r>
          </w:p>
        </w:tc>
        <w:tc>
          <w:tcPr>
            <w:tcW w:w="1630"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инерционный</w:t>
            </w:r>
          </w:p>
        </w:tc>
        <w:tc>
          <w:tcPr>
            <w:tcW w:w="865"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48%</w:t>
            </w:r>
          </w:p>
        </w:tc>
        <w:tc>
          <w:tcPr>
            <w:tcW w:w="865"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57%</w:t>
            </w:r>
          </w:p>
        </w:tc>
        <w:tc>
          <w:tcPr>
            <w:tcW w:w="865"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68%</w:t>
            </w:r>
          </w:p>
        </w:tc>
      </w:tr>
      <w:tr w:rsidR="00302E87" w:rsidRPr="001F0139" w:rsidTr="00A722E5">
        <w:trPr>
          <w:jc w:val="center"/>
        </w:trPr>
        <w:tc>
          <w:tcPr>
            <w:tcW w:w="2509" w:type="dxa"/>
            <w:vMerge/>
          </w:tcPr>
          <w:p w:rsidR="00302E87" w:rsidRPr="001F0139" w:rsidRDefault="00302E87" w:rsidP="001F0139">
            <w:pPr>
              <w:jc w:val="both"/>
              <w:rPr>
                <w:rFonts w:ascii="Times New Roman" w:hAnsi="Times New Roman" w:cs="Times New Roman"/>
                <w:sz w:val="24"/>
                <w:szCs w:val="24"/>
              </w:rPr>
            </w:pPr>
          </w:p>
        </w:tc>
        <w:tc>
          <w:tcPr>
            <w:tcW w:w="675" w:type="dxa"/>
            <w:vMerge/>
          </w:tcPr>
          <w:p w:rsidR="00302E87" w:rsidRPr="001F0139" w:rsidRDefault="00302E87" w:rsidP="001F0139">
            <w:pPr>
              <w:jc w:val="both"/>
              <w:rPr>
                <w:rFonts w:ascii="Times New Roman" w:hAnsi="Times New Roman" w:cs="Times New Roman"/>
                <w:sz w:val="24"/>
                <w:szCs w:val="24"/>
              </w:rPr>
            </w:pPr>
          </w:p>
        </w:tc>
        <w:tc>
          <w:tcPr>
            <w:tcW w:w="1630"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 xml:space="preserve">целевой </w:t>
            </w:r>
          </w:p>
        </w:tc>
        <w:tc>
          <w:tcPr>
            <w:tcW w:w="865"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50%</w:t>
            </w:r>
          </w:p>
        </w:tc>
        <w:tc>
          <w:tcPr>
            <w:tcW w:w="865"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60%</w:t>
            </w:r>
          </w:p>
        </w:tc>
        <w:tc>
          <w:tcPr>
            <w:tcW w:w="865"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70%</w:t>
            </w:r>
          </w:p>
        </w:tc>
      </w:tr>
      <w:tr w:rsidR="00302E87" w:rsidRPr="001F0139" w:rsidTr="00A722E5">
        <w:trPr>
          <w:trHeight w:val="1010"/>
          <w:jc w:val="center"/>
        </w:trPr>
        <w:tc>
          <w:tcPr>
            <w:tcW w:w="2509" w:type="dxa"/>
            <w:vMerge w:val="restart"/>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 xml:space="preserve">доля обучающихся, занимающихся в первую смену, в общей численности обучающихся в учреждениях, реализующих основные общеобразовательные программы общего образования - </w:t>
            </w:r>
          </w:p>
        </w:tc>
        <w:tc>
          <w:tcPr>
            <w:tcW w:w="675" w:type="dxa"/>
            <w:vMerge w:val="restart"/>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w:t>
            </w:r>
          </w:p>
        </w:tc>
        <w:tc>
          <w:tcPr>
            <w:tcW w:w="1630"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инерционный</w:t>
            </w:r>
          </w:p>
        </w:tc>
        <w:tc>
          <w:tcPr>
            <w:tcW w:w="865"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73%</w:t>
            </w:r>
          </w:p>
        </w:tc>
        <w:tc>
          <w:tcPr>
            <w:tcW w:w="865"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83%</w:t>
            </w:r>
          </w:p>
        </w:tc>
        <w:tc>
          <w:tcPr>
            <w:tcW w:w="865"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90%</w:t>
            </w:r>
          </w:p>
        </w:tc>
      </w:tr>
      <w:tr w:rsidR="00302E87" w:rsidRPr="001F0139" w:rsidTr="00A722E5">
        <w:trPr>
          <w:jc w:val="center"/>
        </w:trPr>
        <w:tc>
          <w:tcPr>
            <w:tcW w:w="2509" w:type="dxa"/>
            <w:vMerge/>
          </w:tcPr>
          <w:p w:rsidR="00302E87" w:rsidRPr="001F0139" w:rsidRDefault="00302E87" w:rsidP="001F0139">
            <w:pPr>
              <w:jc w:val="both"/>
              <w:rPr>
                <w:rFonts w:ascii="Times New Roman" w:hAnsi="Times New Roman" w:cs="Times New Roman"/>
                <w:sz w:val="24"/>
                <w:szCs w:val="24"/>
              </w:rPr>
            </w:pPr>
          </w:p>
        </w:tc>
        <w:tc>
          <w:tcPr>
            <w:tcW w:w="675" w:type="dxa"/>
            <w:vMerge/>
            <w:vAlign w:val="center"/>
          </w:tcPr>
          <w:p w:rsidR="00302E87" w:rsidRPr="001F0139" w:rsidRDefault="00302E87" w:rsidP="001F0139">
            <w:pPr>
              <w:jc w:val="both"/>
              <w:rPr>
                <w:rFonts w:ascii="Times New Roman" w:hAnsi="Times New Roman" w:cs="Times New Roman"/>
                <w:sz w:val="24"/>
                <w:szCs w:val="24"/>
              </w:rPr>
            </w:pPr>
          </w:p>
        </w:tc>
        <w:tc>
          <w:tcPr>
            <w:tcW w:w="1630"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 xml:space="preserve">целевой </w:t>
            </w:r>
          </w:p>
        </w:tc>
        <w:tc>
          <w:tcPr>
            <w:tcW w:w="865"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85%</w:t>
            </w:r>
          </w:p>
        </w:tc>
        <w:tc>
          <w:tcPr>
            <w:tcW w:w="865"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96%</w:t>
            </w:r>
          </w:p>
        </w:tc>
        <w:tc>
          <w:tcPr>
            <w:tcW w:w="865" w:type="dxa"/>
            <w:vAlign w:val="center"/>
          </w:tcPr>
          <w:p w:rsidR="00302E87" w:rsidRPr="001F0139" w:rsidRDefault="00302E87" w:rsidP="001F0139">
            <w:pPr>
              <w:jc w:val="both"/>
              <w:rPr>
                <w:rFonts w:ascii="Times New Roman" w:hAnsi="Times New Roman" w:cs="Times New Roman"/>
                <w:sz w:val="24"/>
                <w:szCs w:val="24"/>
              </w:rPr>
            </w:pPr>
            <w:r w:rsidRPr="001F0139">
              <w:rPr>
                <w:rFonts w:ascii="Times New Roman" w:hAnsi="Times New Roman" w:cs="Times New Roman"/>
                <w:sz w:val="24"/>
                <w:szCs w:val="24"/>
              </w:rPr>
              <w:t>100%.</w:t>
            </w:r>
          </w:p>
          <w:p w:rsidR="00302E87" w:rsidRPr="001F0139" w:rsidRDefault="00302E87" w:rsidP="001F0139">
            <w:pPr>
              <w:jc w:val="both"/>
              <w:rPr>
                <w:rFonts w:ascii="Times New Roman" w:hAnsi="Times New Roman" w:cs="Times New Roman"/>
                <w:sz w:val="24"/>
                <w:szCs w:val="24"/>
              </w:rPr>
            </w:pPr>
          </w:p>
        </w:tc>
      </w:tr>
    </w:tbl>
    <w:p w:rsidR="00302E87" w:rsidRPr="001F0139" w:rsidRDefault="00302E87"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tbl>
      <w:tblPr>
        <w:tblStyle w:val="a9"/>
        <w:tblW w:w="0" w:type="auto"/>
        <w:jc w:val="center"/>
        <w:tblLook w:val="04A0" w:firstRow="1" w:lastRow="0" w:firstColumn="1" w:lastColumn="0" w:noHBand="0" w:noVBand="1"/>
      </w:tblPr>
      <w:tblGrid>
        <w:gridCol w:w="2509"/>
        <w:gridCol w:w="675"/>
        <w:gridCol w:w="1630"/>
        <w:gridCol w:w="865"/>
        <w:gridCol w:w="865"/>
        <w:gridCol w:w="865"/>
      </w:tblGrid>
      <w:tr w:rsidR="00302E87" w:rsidRPr="001F0139" w:rsidTr="00A722E5">
        <w:trPr>
          <w:jc w:val="center"/>
        </w:trPr>
        <w:tc>
          <w:tcPr>
            <w:tcW w:w="2509" w:type="dxa"/>
            <w:shd w:val="clear" w:color="auto" w:fill="C00000"/>
          </w:tcPr>
          <w:p w:rsidR="00302E87" w:rsidRPr="001F0139" w:rsidRDefault="00302E87" w:rsidP="001F0139">
            <w:pPr>
              <w:jc w:val="center"/>
              <w:rPr>
                <w:rFonts w:ascii="Times New Roman" w:hAnsi="Times New Roman" w:cs="Times New Roman"/>
                <w:b/>
                <w:sz w:val="24"/>
                <w:szCs w:val="24"/>
              </w:rPr>
            </w:pPr>
            <w:r w:rsidRPr="001F0139">
              <w:rPr>
                <w:rFonts w:ascii="Times New Roman" w:hAnsi="Times New Roman" w:cs="Times New Roman"/>
                <w:b/>
                <w:sz w:val="24"/>
                <w:szCs w:val="24"/>
              </w:rPr>
              <w:t>Целевой показатель</w:t>
            </w:r>
          </w:p>
        </w:tc>
        <w:tc>
          <w:tcPr>
            <w:tcW w:w="675" w:type="dxa"/>
            <w:shd w:val="clear" w:color="auto" w:fill="C00000"/>
          </w:tcPr>
          <w:p w:rsidR="00302E87" w:rsidRPr="001F0139" w:rsidRDefault="00302E87" w:rsidP="001F0139">
            <w:pPr>
              <w:jc w:val="center"/>
              <w:rPr>
                <w:rFonts w:ascii="Times New Roman" w:hAnsi="Times New Roman" w:cs="Times New Roman"/>
                <w:b/>
                <w:sz w:val="24"/>
                <w:szCs w:val="24"/>
              </w:rPr>
            </w:pPr>
            <w:r w:rsidRPr="001F0139">
              <w:rPr>
                <w:rFonts w:ascii="Times New Roman" w:hAnsi="Times New Roman" w:cs="Times New Roman"/>
                <w:b/>
                <w:sz w:val="24"/>
                <w:szCs w:val="24"/>
              </w:rPr>
              <w:t>Ед. изм.</w:t>
            </w:r>
          </w:p>
        </w:tc>
        <w:tc>
          <w:tcPr>
            <w:tcW w:w="1630" w:type="dxa"/>
            <w:shd w:val="clear" w:color="auto" w:fill="C00000"/>
            <w:vAlign w:val="center"/>
          </w:tcPr>
          <w:p w:rsidR="00302E87" w:rsidRPr="001F0139" w:rsidRDefault="00302E87" w:rsidP="001F0139">
            <w:pPr>
              <w:jc w:val="center"/>
              <w:rPr>
                <w:rFonts w:ascii="Times New Roman" w:hAnsi="Times New Roman" w:cs="Times New Roman"/>
                <w:b/>
                <w:sz w:val="24"/>
                <w:szCs w:val="24"/>
              </w:rPr>
            </w:pPr>
            <w:r w:rsidRPr="001F0139">
              <w:rPr>
                <w:rFonts w:ascii="Times New Roman" w:hAnsi="Times New Roman" w:cs="Times New Roman"/>
                <w:b/>
                <w:sz w:val="24"/>
                <w:szCs w:val="24"/>
              </w:rPr>
              <w:t>Сценарий</w:t>
            </w:r>
          </w:p>
        </w:tc>
        <w:tc>
          <w:tcPr>
            <w:tcW w:w="865" w:type="dxa"/>
            <w:shd w:val="clear" w:color="auto" w:fill="C00000"/>
          </w:tcPr>
          <w:p w:rsidR="00302E87" w:rsidRPr="001F0139" w:rsidRDefault="00302E87" w:rsidP="001F0139">
            <w:pPr>
              <w:rPr>
                <w:rFonts w:ascii="Times New Roman" w:hAnsi="Times New Roman" w:cs="Times New Roman"/>
                <w:b/>
                <w:sz w:val="24"/>
                <w:szCs w:val="24"/>
              </w:rPr>
            </w:pPr>
            <w:r w:rsidRPr="001F0139">
              <w:rPr>
                <w:rFonts w:ascii="Times New Roman" w:hAnsi="Times New Roman" w:cs="Times New Roman"/>
                <w:b/>
                <w:sz w:val="24"/>
                <w:szCs w:val="24"/>
              </w:rPr>
              <w:t>2020г.</w:t>
            </w:r>
          </w:p>
        </w:tc>
        <w:tc>
          <w:tcPr>
            <w:tcW w:w="865" w:type="dxa"/>
            <w:shd w:val="clear" w:color="auto" w:fill="C00000"/>
          </w:tcPr>
          <w:p w:rsidR="00302E87" w:rsidRPr="001F0139" w:rsidRDefault="00302E87" w:rsidP="001F0139">
            <w:pPr>
              <w:rPr>
                <w:rFonts w:ascii="Times New Roman" w:hAnsi="Times New Roman" w:cs="Times New Roman"/>
                <w:b/>
                <w:sz w:val="24"/>
                <w:szCs w:val="24"/>
              </w:rPr>
            </w:pPr>
            <w:r w:rsidRPr="001F0139">
              <w:rPr>
                <w:rFonts w:ascii="Times New Roman" w:hAnsi="Times New Roman" w:cs="Times New Roman"/>
                <w:b/>
                <w:sz w:val="24"/>
                <w:szCs w:val="24"/>
              </w:rPr>
              <w:t>2025г.</w:t>
            </w:r>
          </w:p>
        </w:tc>
        <w:tc>
          <w:tcPr>
            <w:tcW w:w="865" w:type="dxa"/>
            <w:shd w:val="clear" w:color="auto" w:fill="C00000"/>
          </w:tcPr>
          <w:p w:rsidR="00302E87" w:rsidRPr="001F0139" w:rsidRDefault="00302E87" w:rsidP="001F0139">
            <w:pPr>
              <w:rPr>
                <w:rFonts w:ascii="Times New Roman" w:hAnsi="Times New Roman" w:cs="Times New Roman"/>
                <w:b/>
                <w:sz w:val="24"/>
                <w:szCs w:val="24"/>
              </w:rPr>
            </w:pPr>
            <w:r w:rsidRPr="001F0139">
              <w:rPr>
                <w:rFonts w:ascii="Times New Roman" w:hAnsi="Times New Roman" w:cs="Times New Roman"/>
                <w:b/>
                <w:sz w:val="24"/>
                <w:szCs w:val="24"/>
              </w:rPr>
              <w:t>2030г.</w:t>
            </w:r>
          </w:p>
        </w:tc>
      </w:tr>
      <w:tr w:rsidR="00302E87" w:rsidRPr="001F0139" w:rsidTr="00A722E5">
        <w:trPr>
          <w:trHeight w:val="439"/>
          <w:jc w:val="center"/>
        </w:trPr>
        <w:tc>
          <w:tcPr>
            <w:tcW w:w="2509" w:type="dxa"/>
            <w:vMerge w:val="restart"/>
          </w:tcPr>
          <w:p w:rsidR="00302E87" w:rsidRPr="001F0139" w:rsidRDefault="00302E87" w:rsidP="001F0139">
            <w:pPr>
              <w:rPr>
                <w:rFonts w:ascii="Times New Roman" w:hAnsi="Times New Roman" w:cs="Times New Roman"/>
                <w:sz w:val="24"/>
                <w:szCs w:val="24"/>
              </w:rPr>
            </w:pPr>
            <w:r w:rsidRPr="001F0139">
              <w:rPr>
                <w:rFonts w:ascii="Times New Roman" w:hAnsi="Times New Roman" w:cs="Times New Roman"/>
                <w:sz w:val="24"/>
                <w:szCs w:val="24"/>
              </w:rPr>
              <w:t>Численность врачей на 10 000 человек населения, лет.</w:t>
            </w:r>
          </w:p>
        </w:tc>
        <w:tc>
          <w:tcPr>
            <w:tcW w:w="675" w:type="dxa"/>
            <w:vMerge w:val="restart"/>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w:t>
            </w:r>
          </w:p>
        </w:tc>
        <w:tc>
          <w:tcPr>
            <w:tcW w:w="1630"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инерционный</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29%</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31%</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33,5%</w:t>
            </w:r>
          </w:p>
        </w:tc>
      </w:tr>
      <w:tr w:rsidR="00302E87" w:rsidRPr="001F0139" w:rsidTr="00A722E5">
        <w:trPr>
          <w:jc w:val="center"/>
        </w:trPr>
        <w:tc>
          <w:tcPr>
            <w:tcW w:w="2509" w:type="dxa"/>
            <w:vMerge/>
          </w:tcPr>
          <w:p w:rsidR="00302E87" w:rsidRPr="001F0139" w:rsidRDefault="00302E87" w:rsidP="001F0139">
            <w:pPr>
              <w:rPr>
                <w:rFonts w:ascii="Times New Roman" w:hAnsi="Times New Roman" w:cs="Times New Roman"/>
                <w:sz w:val="24"/>
                <w:szCs w:val="24"/>
              </w:rPr>
            </w:pPr>
          </w:p>
        </w:tc>
        <w:tc>
          <w:tcPr>
            <w:tcW w:w="675" w:type="dxa"/>
            <w:vMerge/>
            <w:vAlign w:val="center"/>
          </w:tcPr>
          <w:p w:rsidR="00302E87" w:rsidRPr="001F0139" w:rsidRDefault="00302E87" w:rsidP="001F0139">
            <w:pPr>
              <w:jc w:val="center"/>
              <w:rPr>
                <w:rFonts w:ascii="Times New Roman" w:hAnsi="Times New Roman" w:cs="Times New Roman"/>
                <w:sz w:val="24"/>
                <w:szCs w:val="24"/>
              </w:rPr>
            </w:pPr>
          </w:p>
        </w:tc>
        <w:tc>
          <w:tcPr>
            <w:tcW w:w="1630"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 xml:space="preserve">целевой </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30%</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33%</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35,6%</w:t>
            </w:r>
          </w:p>
        </w:tc>
      </w:tr>
      <w:tr w:rsidR="00302E87" w:rsidRPr="001F0139" w:rsidTr="00A722E5">
        <w:trPr>
          <w:trHeight w:val="451"/>
          <w:jc w:val="center"/>
        </w:trPr>
        <w:tc>
          <w:tcPr>
            <w:tcW w:w="2509" w:type="dxa"/>
            <w:vMerge w:val="restart"/>
          </w:tcPr>
          <w:p w:rsidR="00302E87" w:rsidRPr="001F0139" w:rsidRDefault="00302E87" w:rsidP="001F0139">
            <w:pPr>
              <w:rPr>
                <w:rFonts w:ascii="Times New Roman" w:hAnsi="Times New Roman" w:cs="Times New Roman"/>
                <w:sz w:val="24"/>
                <w:szCs w:val="24"/>
              </w:rPr>
            </w:pPr>
            <w:r w:rsidRPr="001F0139">
              <w:rPr>
                <w:rFonts w:ascii="Times New Roman" w:hAnsi="Times New Roman" w:cs="Times New Roman"/>
                <w:sz w:val="24"/>
                <w:szCs w:val="24"/>
              </w:rPr>
              <w:t>Число больничных коек круглосуточных стационаров на 10 000 человек</w:t>
            </w:r>
          </w:p>
        </w:tc>
        <w:tc>
          <w:tcPr>
            <w:tcW w:w="675" w:type="dxa"/>
            <w:vMerge w:val="restart"/>
          </w:tcPr>
          <w:p w:rsidR="00302E87" w:rsidRPr="001F0139" w:rsidRDefault="00302E87" w:rsidP="001F0139">
            <w:pPr>
              <w:rPr>
                <w:rFonts w:ascii="Times New Roman" w:hAnsi="Times New Roman" w:cs="Times New Roman"/>
              </w:rPr>
            </w:pPr>
            <w:r w:rsidRPr="001F0139">
              <w:rPr>
                <w:rFonts w:ascii="Times New Roman" w:hAnsi="Times New Roman" w:cs="Times New Roman"/>
                <w:sz w:val="24"/>
                <w:szCs w:val="24"/>
              </w:rPr>
              <w:t>%</w:t>
            </w:r>
          </w:p>
        </w:tc>
        <w:tc>
          <w:tcPr>
            <w:tcW w:w="1630"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инерционный</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!6%</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17%</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19%</w:t>
            </w:r>
          </w:p>
        </w:tc>
      </w:tr>
      <w:tr w:rsidR="00302E87" w:rsidRPr="001F0139" w:rsidTr="00A722E5">
        <w:trPr>
          <w:jc w:val="center"/>
        </w:trPr>
        <w:tc>
          <w:tcPr>
            <w:tcW w:w="2509" w:type="dxa"/>
            <w:vMerge/>
          </w:tcPr>
          <w:p w:rsidR="00302E87" w:rsidRPr="001F0139" w:rsidRDefault="00302E87" w:rsidP="001F0139">
            <w:pPr>
              <w:rPr>
                <w:rFonts w:ascii="Times New Roman" w:hAnsi="Times New Roman" w:cs="Times New Roman"/>
                <w:sz w:val="24"/>
                <w:szCs w:val="24"/>
              </w:rPr>
            </w:pPr>
          </w:p>
        </w:tc>
        <w:tc>
          <w:tcPr>
            <w:tcW w:w="675" w:type="dxa"/>
            <w:vMerge/>
          </w:tcPr>
          <w:p w:rsidR="00302E87" w:rsidRPr="001F0139" w:rsidRDefault="00302E87" w:rsidP="001F0139">
            <w:pPr>
              <w:jc w:val="center"/>
              <w:rPr>
                <w:rFonts w:ascii="Times New Roman" w:hAnsi="Times New Roman" w:cs="Times New Roman"/>
                <w:sz w:val="24"/>
                <w:szCs w:val="24"/>
              </w:rPr>
            </w:pPr>
          </w:p>
        </w:tc>
        <w:tc>
          <w:tcPr>
            <w:tcW w:w="1630"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 xml:space="preserve">целевой </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17%</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20%</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21,7%</w:t>
            </w:r>
          </w:p>
        </w:tc>
      </w:tr>
      <w:tr w:rsidR="00302E87" w:rsidRPr="001F0139" w:rsidTr="00A722E5">
        <w:trPr>
          <w:jc w:val="center"/>
        </w:trPr>
        <w:tc>
          <w:tcPr>
            <w:tcW w:w="2509" w:type="dxa"/>
            <w:vMerge w:val="restart"/>
          </w:tcPr>
          <w:p w:rsidR="00302E87" w:rsidRPr="001F0139" w:rsidRDefault="00302E87" w:rsidP="001F0139">
            <w:pPr>
              <w:pStyle w:val="Default"/>
            </w:pPr>
            <w:r w:rsidRPr="001F0139">
              <w:t>Удовлетворенность населения медицинской помощью</w:t>
            </w:r>
          </w:p>
        </w:tc>
        <w:tc>
          <w:tcPr>
            <w:tcW w:w="675" w:type="dxa"/>
            <w:vMerge w:val="restart"/>
          </w:tcPr>
          <w:p w:rsidR="00302E87" w:rsidRPr="001F0139" w:rsidRDefault="00302E87" w:rsidP="001F0139">
            <w:pPr>
              <w:rPr>
                <w:rFonts w:ascii="Times New Roman" w:hAnsi="Times New Roman" w:cs="Times New Roman"/>
              </w:rPr>
            </w:pPr>
            <w:r w:rsidRPr="001F0139">
              <w:rPr>
                <w:rFonts w:ascii="Times New Roman" w:hAnsi="Times New Roman" w:cs="Times New Roman"/>
                <w:sz w:val="24"/>
                <w:szCs w:val="24"/>
              </w:rPr>
              <w:t>%</w:t>
            </w:r>
          </w:p>
        </w:tc>
        <w:tc>
          <w:tcPr>
            <w:tcW w:w="1630"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инерционный</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73%</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83%</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90%</w:t>
            </w:r>
          </w:p>
        </w:tc>
      </w:tr>
      <w:tr w:rsidR="00302E87" w:rsidRPr="001F0139" w:rsidTr="00A722E5">
        <w:trPr>
          <w:jc w:val="center"/>
        </w:trPr>
        <w:tc>
          <w:tcPr>
            <w:tcW w:w="2509" w:type="dxa"/>
            <w:vMerge/>
          </w:tcPr>
          <w:p w:rsidR="00302E87" w:rsidRPr="001F0139" w:rsidRDefault="00302E87" w:rsidP="001F0139">
            <w:pPr>
              <w:pStyle w:val="Default"/>
            </w:pPr>
          </w:p>
        </w:tc>
        <w:tc>
          <w:tcPr>
            <w:tcW w:w="675" w:type="dxa"/>
            <w:vMerge/>
            <w:vAlign w:val="center"/>
          </w:tcPr>
          <w:p w:rsidR="00302E87" w:rsidRPr="001F0139" w:rsidRDefault="00302E87" w:rsidP="001F0139">
            <w:pPr>
              <w:jc w:val="center"/>
              <w:rPr>
                <w:rFonts w:ascii="Times New Roman" w:hAnsi="Times New Roman" w:cs="Times New Roman"/>
                <w:sz w:val="24"/>
                <w:szCs w:val="24"/>
              </w:rPr>
            </w:pPr>
          </w:p>
        </w:tc>
        <w:tc>
          <w:tcPr>
            <w:tcW w:w="1630"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 xml:space="preserve">целевой </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75%</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85%</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95%</w:t>
            </w:r>
          </w:p>
        </w:tc>
      </w:tr>
      <w:tr w:rsidR="00302E87" w:rsidRPr="001F0139" w:rsidTr="00A722E5">
        <w:trPr>
          <w:trHeight w:val="413"/>
          <w:jc w:val="center"/>
        </w:trPr>
        <w:tc>
          <w:tcPr>
            <w:tcW w:w="2509" w:type="dxa"/>
            <w:vMerge w:val="restart"/>
          </w:tcPr>
          <w:p w:rsidR="00302E87" w:rsidRPr="001F0139" w:rsidRDefault="00302E87" w:rsidP="001F0139">
            <w:pPr>
              <w:rPr>
                <w:rFonts w:ascii="Times New Roman" w:hAnsi="Times New Roman" w:cs="Times New Roman"/>
              </w:rPr>
            </w:pPr>
            <w:r w:rsidRPr="001F0139">
              <w:rPr>
                <w:rFonts w:ascii="Times New Roman" w:hAnsi="Times New Roman" w:cs="Times New Roman"/>
                <w:sz w:val="24"/>
                <w:szCs w:val="24"/>
              </w:rPr>
              <w:t>Ожидаемая продолжительность жизни</w:t>
            </w:r>
          </w:p>
        </w:tc>
        <w:tc>
          <w:tcPr>
            <w:tcW w:w="675" w:type="dxa"/>
            <w:vMerge w:val="restart"/>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лет</w:t>
            </w:r>
          </w:p>
        </w:tc>
        <w:tc>
          <w:tcPr>
            <w:tcW w:w="1630"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инерционный</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76</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77</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79</w:t>
            </w:r>
          </w:p>
        </w:tc>
      </w:tr>
      <w:tr w:rsidR="00302E87" w:rsidRPr="001F0139" w:rsidTr="00A722E5">
        <w:trPr>
          <w:trHeight w:val="412"/>
          <w:jc w:val="center"/>
        </w:trPr>
        <w:tc>
          <w:tcPr>
            <w:tcW w:w="2509" w:type="dxa"/>
            <w:vMerge/>
          </w:tcPr>
          <w:p w:rsidR="00302E87" w:rsidRPr="001F0139" w:rsidRDefault="00302E87" w:rsidP="001F0139">
            <w:pPr>
              <w:rPr>
                <w:rFonts w:ascii="Times New Roman" w:hAnsi="Times New Roman" w:cs="Times New Roman"/>
                <w:sz w:val="24"/>
                <w:szCs w:val="24"/>
              </w:rPr>
            </w:pPr>
          </w:p>
        </w:tc>
        <w:tc>
          <w:tcPr>
            <w:tcW w:w="675" w:type="dxa"/>
            <w:vMerge/>
            <w:vAlign w:val="center"/>
          </w:tcPr>
          <w:p w:rsidR="00302E87" w:rsidRPr="001F0139" w:rsidRDefault="00302E87" w:rsidP="001F0139">
            <w:pPr>
              <w:jc w:val="center"/>
              <w:rPr>
                <w:rFonts w:ascii="Times New Roman" w:hAnsi="Times New Roman" w:cs="Times New Roman"/>
                <w:sz w:val="24"/>
                <w:szCs w:val="24"/>
              </w:rPr>
            </w:pPr>
          </w:p>
        </w:tc>
        <w:tc>
          <w:tcPr>
            <w:tcW w:w="1630"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 xml:space="preserve">целевой </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77</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78</w:t>
            </w:r>
          </w:p>
        </w:tc>
        <w:tc>
          <w:tcPr>
            <w:tcW w:w="865" w:type="dxa"/>
            <w:vAlign w:val="center"/>
          </w:tcPr>
          <w:p w:rsidR="00302E87" w:rsidRPr="001F0139" w:rsidRDefault="00302E87" w:rsidP="001F0139">
            <w:pPr>
              <w:jc w:val="center"/>
              <w:rPr>
                <w:rFonts w:ascii="Times New Roman" w:hAnsi="Times New Roman" w:cs="Times New Roman"/>
                <w:sz w:val="24"/>
                <w:szCs w:val="24"/>
              </w:rPr>
            </w:pPr>
            <w:r w:rsidRPr="001F0139">
              <w:rPr>
                <w:rFonts w:ascii="Times New Roman" w:hAnsi="Times New Roman" w:cs="Times New Roman"/>
                <w:sz w:val="24"/>
                <w:szCs w:val="24"/>
              </w:rPr>
              <w:t>80</w:t>
            </w:r>
          </w:p>
        </w:tc>
      </w:tr>
    </w:tbl>
    <w:p w:rsidR="008D1B35" w:rsidRPr="001F0139" w:rsidRDefault="008D1B35"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8D1B35" w:rsidRPr="001F0139" w:rsidRDefault="008D1B35"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2760F1" w:rsidRDefault="002760F1">
      <w:pP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br w:type="page"/>
      </w:r>
    </w:p>
    <w:p w:rsidR="00E74438" w:rsidRPr="001F0139" w:rsidRDefault="00E74438" w:rsidP="001F0139">
      <w:pPr>
        <w:pStyle w:val="a3"/>
        <w:widowControl w:val="0"/>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lastRenderedPageBreak/>
        <w:t>7. Создание комфортного пространства района</w:t>
      </w:r>
      <w:r w:rsidR="002760F1">
        <w:rPr>
          <w:rFonts w:ascii="Times New Roman" w:hAnsi="Times New Roman" w:cs="Times New Roman"/>
          <w:b/>
          <w:color w:val="365F91" w:themeColor="accent1" w:themeShade="BF"/>
          <w:sz w:val="28"/>
          <w:szCs w:val="28"/>
        </w:rPr>
        <w:t xml:space="preserve"> </w:t>
      </w:r>
      <w:r w:rsidRPr="001F0139">
        <w:rPr>
          <w:rFonts w:ascii="Times New Roman" w:hAnsi="Times New Roman" w:cs="Times New Roman"/>
          <w:b/>
          <w:color w:val="365F91" w:themeColor="accent1" w:themeShade="BF"/>
          <w:sz w:val="28"/>
          <w:szCs w:val="28"/>
        </w:rPr>
        <w:t>для гармоничного развития человеческого капитала</w:t>
      </w:r>
    </w:p>
    <w:p w:rsidR="00E74438" w:rsidRPr="001F0139" w:rsidRDefault="00E7443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7.1. Стратегическая диагностика</w:t>
      </w:r>
    </w:p>
    <w:p w:rsidR="00FA0047" w:rsidRPr="001F0139" w:rsidRDefault="00FA0047" w:rsidP="001F0139">
      <w:pPr>
        <w:shd w:val="clear" w:color="auto" w:fill="FFFFFF"/>
        <w:spacing w:after="0" w:line="360" w:lineRule="auto"/>
        <w:contextualSpacing/>
        <w:jc w:val="both"/>
        <w:rPr>
          <w:rFonts w:ascii="Times New Roman" w:eastAsia="Times New Roman" w:hAnsi="Times New Roman" w:cs="Times New Roman"/>
          <w:sz w:val="20"/>
          <w:szCs w:val="20"/>
        </w:rPr>
      </w:pPr>
    </w:p>
    <w:p w:rsidR="00FA0047" w:rsidRPr="001F0139" w:rsidRDefault="00FA0047" w:rsidP="001F0139">
      <w:pPr>
        <w:spacing w:after="0" w:line="360" w:lineRule="auto"/>
        <w:contextualSpacing/>
        <w:outlineLvl w:val="2"/>
        <w:rPr>
          <w:rFonts w:ascii="Times New Roman" w:hAnsi="Times New Roman" w:cs="Times New Roman"/>
          <w:b/>
          <w:color w:val="365F91"/>
          <w:sz w:val="28"/>
          <w:szCs w:val="28"/>
        </w:rPr>
      </w:pPr>
      <w:bookmarkStart w:id="25" w:name="_Toc520894847"/>
      <w:r w:rsidRPr="001F0139">
        <w:rPr>
          <w:rFonts w:ascii="Times New Roman" w:hAnsi="Times New Roman" w:cs="Times New Roman"/>
          <w:b/>
          <w:color w:val="365F91"/>
          <w:sz w:val="28"/>
          <w:szCs w:val="28"/>
        </w:rPr>
        <w:t>Жилье, градостроительство и комфортная среда</w:t>
      </w:r>
      <w:bookmarkEnd w:id="25"/>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Формирование комфортной среды проживания является приоритетной задачей развития муниципальных образований, важнейшим условием для закрепления в сельской местности молодежи, роста обеспеченности трудовыми ресурсами экономики муниципального района.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Зона комфорта определяется как оптимальное для человека соотношение и сочетание всех факторов среды, как природной, так и физической и социально-экономической. Среда же определяется как фон для конкретной деятельности.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Анализ развития жилищно–коммунального хозяйства и среды проживания Камышлинского района позволил выявить</w:t>
      </w:r>
      <w:r w:rsidR="00AE2DFC">
        <w:rPr>
          <w:rFonts w:ascii="Times New Roman" w:hAnsi="Times New Roman" w:cs="Times New Roman"/>
          <w:sz w:val="28"/>
          <w:szCs w:val="28"/>
        </w:rPr>
        <w:t xml:space="preserve"> </w:t>
      </w:r>
      <w:r w:rsidRPr="001F0139">
        <w:rPr>
          <w:rFonts w:ascii="Times New Roman" w:hAnsi="Times New Roman" w:cs="Times New Roman"/>
          <w:sz w:val="28"/>
          <w:szCs w:val="28"/>
        </w:rPr>
        <w:t>д</w:t>
      </w:r>
      <w:r w:rsidR="00AE2DFC">
        <w:rPr>
          <w:rFonts w:ascii="Times New Roman" w:hAnsi="Times New Roman" w:cs="Times New Roman"/>
          <w:sz w:val="28"/>
          <w:szCs w:val="28"/>
        </w:rPr>
        <w:t>остоинства</w:t>
      </w:r>
      <w:r w:rsidRPr="001F0139">
        <w:rPr>
          <w:rFonts w:ascii="Times New Roman" w:hAnsi="Times New Roman" w:cs="Times New Roman"/>
          <w:sz w:val="28"/>
          <w:szCs w:val="28"/>
        </w:rPr>
        <w:t xml:space="preserve"> и недостатки в состоянии изучаемой проблемы. Одним из положительных моментов развития ЖКХ района является устойчивый рост обеспеченности жильем и общей площади вводимого в эксплуатацию жилья.</w:t>
      </w:r>
    </w:p>
    <w:p w:rsidR="00FA0047" w:rsidRPr="001F0139" w:rsidRDefault="00FA0047" w:rsidP="001F0139">
      <w:pPr>
        <w:spacing w:after="0" w:line="240" w:lineRule="auto"/>
        <w:jc w:val="center"/>
        <w:rPr>
          <w:rFonts w:ascii="Times New Roman" w:hAnsi="Times New Roman" w:cs="Times New Roman"/>
        </w:rPr>
      </w:pPr>
      <w:r w:rsidRPr="001F0139">
        <w:rPr>
          <w:rFonts w:ascii="Times New Roman" w:hAnsi="Times New Roman" w:cs="Times New Roman"/>
          <w:noProof/>
          <w:lang w:eastAsia="ru-RU"/>
        </w:rPr>
        <w:drawing>
          <wp:inline distT="0" distB="0" distL="0" distR="0">
            <wp:extent cx="5437632" cy="2865120"/>
            <wp:effectExtent l="0" t="0" r="0" b="0"/>
            <wp:docPr id="47"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A0047" w:rsidRPr="001F0139" w:rsidRDefault="00FA0047" w:rsidP="001F0139">
      <w:pPr>
        <w:widowControl w:val="0"/>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 xml:space="preserve">Рисунок </w:t>
      </w:r>
      <w:r w:rsidRPr="001F0139">
        <w:rPr>
          <w:rFonts w:ascii="Times New Roman" w:hAnsi="Times New Roman" w:cs="Times New Roman"/>
          <w:b/>
          <w:color w:val="000000"/>
          <w:sz w:val="28"/>
          <w:szCs w:val="28"/>
          <w:shd w:val="clear" w:color="auto" w:fill="FFFFFF"/>
        </w:rPr>
        <w:t xml:space="preserve">1.6.1 </w:t>
      </w:r>
      <w:r w:rsidRPr="001F0139">
        <w:rPr>
          <w:rFonts w:ascii="Times New Roman" w:hAnsi="Times New Roman" w:cs="Times New Roman"/>
          <w:b/>
          <w:sz w:val="28"/>
          <w:szCs w:val="28"/>
        </w:rPr>
        <w:t>– Жилой фонд Камышлинского района в 2012-2016 гг.</w:t>
      </w:r>
    </w:p>
    <w:p w:rsidR="00FA0047" w:rsidRPr="001F0139" w:rsidRDefault="00FA0047" w:rsidP="001F0139">
      <w:pPr>
        <w:widowControl w:val="0"/>
        <w:spacing w:after="0" w:line="240" w:lineRule="auto"/>
        <w:jc w:val="center"/>
        <w:rPr>
          <w:rFonts w:ascii="Times New Roman" w:hAnsi="Times New Roman" w:cs="Times New Roman"/>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Общая площадь жилищного фонда Камышлинского района в 2016 г. составила 276,5 тыс. м</w:t>
      </w:r>
      <w:r w:rsidRPr="001F0139">
        <w:rPr>
          <w:rFonts w:ascii="Times New Roman" w:hAnsi="Times New Roman" w:cs="Times New Roman"/>
          <w:sz w:val="28"/>
          <w:szCs w:val="28"/>
          <w:vertAlign w:val="superscript"/>
        </w:rPr>
        <w:t>2</w:t>
      </w:r>
      <w:r w:rsidRPr="001F0139">
        <w:rPr>
          <w:rFonts w:ascii="Times New Roman" w:hAnsi="Times New Roman" w:cs="Times New Roman"/>
          <w:sz w:val="28"/>
          <w:szCs w:val="28"/>
        </w:rPr>
        <w:t xml:space="preserve"> , по сравнению с 2012 годом она увеличилась на 15%. </w:t>
      </w:r>
      <w:r w:rsidRPr="001F0139">
        <w:rPr>
          <w:rFonts w:ascii="Times New Roman" w:hAnsi="Times New Roman" w:cs="Times New Roman"/>
          <w:sz w:val="28"/>
          <w:szCs w:val="28"/>
        </w:rPr>
        <w:lastRenderedPageBreak/>
        <w:t>Жилой фонд увеличивается в среднем ежегодно на 4%, что выше, чем по Самарской области (1,7% в год). Доля многоквартирных домов района, в которых собственники помещений выбрали и реализуют один из способов управления многоквартирными домами, в общем числе многоквартирных домов составляет 100%.</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силу того, что с 2014 года район включился в</w:t>
      </w:r>
      <w:r w:rsidRPr="001F0139">
        <w:rPr>
          <w:rFonts w:ascii="Times New Roman" w:hAnsi="Times New Roman" w:cs="Times New Roman"/>
          <w:b/>
          <w:sz w:val="28"/>
          <w:szCs w:val="28"/>
        </w:rPr>
        <w:t xml:space="preserve"> </w:t>
      </w:r>
      <w:r w:rsidRPr="001F0139">
        <w:rPr>
          <w:rFonts w:ascii="Times New Roman" w:hAnsi="Times New Roman" w:cs="Times New Roman"/>
          <w:sz w:val="28"/>
          <w:szCs w:val="28"/>
        </w:rPr>
        <w:t>областную программу «</w:t>
      </w:r>
      <w:r w:rsidRPr="001F0139">
        <w:rPr>
          <w:rFonts w:ascii="Times New Roman" w:eastAsia="Arial" w:hAnsi="Times New Roman" w:cs="Times New Roman"/>
          <w:sz w:val="28"/>
          <w:szCs w:val="28"/>
        </w:rPr>
        <w:t>Устойчивое развитие сельских территорий Самарской области</w:t>
      </w:r>
      <w:r w:rsidRPr="001F0139">
        <w:rPr>
          <w:rFonts w:ascii="Times New Roman" w:hAnsi="Times New Roman" w:cs="Times New Roman"/>
          <w:sz w:val="28"/>
          <w:szCs w:val="28"/>
        </w:rPr>
        <w:t xml:space="preserve"> на 2013-2017 гг. и на период до 2020 года», заметно выросло количество индивидуальных застройщиков. В 2016 году 8 жителей района построили и ввели в эксплуатацию свои дома общей площадью 787 м</w:t>
      </w:r>
      <w:r w:rsidRPr="001F0139">
        <w:rPr>
          <w:rFonts w:ascii="Times New Roman" w:hAnsi="Times New Roman" w:cs="Times New Roman"/>
          <w:sz w:val="28"/>
          <w:szCs w:val="28"/>
          <w:vertAlign w:val="superscript"/>
        </w:rPr>
        <w:t>2</w:t>
      </w:r>
      <w:r w:rsidRPr="001F0139">
        <w:rPr>
          <w:rFonts w:ascii="Times New Roman" w:hAnsi="Times New Roman" w:cs="Times New Roman"/>
          <w:sz w:val="28"/>
          <w:szCs w:val="28"/>
        </w:rPr>
        <w:t>.</w:t>
      </w:r>
      <w:r w:rsidRPr="001F0139">
        <w:rPr>
          <w:rFonts w:ascii="Times New Roman" w:hAnsi="Times New Roman" w:cs="Times New Roman"/>
          <w:kern w:val="2"/>
          <w:sz w:val="28"/>
          <w:szCs w:val="28"/>
        </w:rPr>
        <w:t xml:space="preserve">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color w:val="000000"/>
          <w:sz w:val="28"/>
          <w:szCs w:val="28"/>
        </w:rPr>
        <w:t xml:space="preserve"> В 2016 году для жилищного строительства, индивидуального жилищного строительства предоставлено 8 земельных участков общей площади 0,8 га. </w:t>
      </w:r>
      <w:r w:rsidRPr="001F0139">
        <w:rPr>
          <w:rFonts w:ascii="Times New Roman" w:hAnsi="Times New Roman" w:cs="Times New Roman"/>
          <w:sz w:val="28"/>
          <w:szCs w:val="28"/>
        </w:rPr>
        <w:t xml:space="preserve">Ввод в действие общей площади жилых помещений </w:t>
      </w:r>
      <w:r w:rsidRPr="001F0139">
        <w:rPr>
          <w:rFonts w:ascii="Times New Roman" w:hAnsi="Times New Roman" w:cs="Times New Roman"/>
          <w:sz w:val="28"/>
          <w:szCs w:val="28"/>
        </w:rPr>
        <w:br/>
        <w:t>в расчете на 1000 жителей, в 2016 году составил 232,1 м</w:t>
      </w:r>
      <w:r w:rsidRPr="001F0139">
        <w:rPr>
          <w:rFonts w:ascii="Times New Roman" w:hAnsi="Times New Roman" w:cs="Times New Roman"/>
          <w:sz w:val="28"/>
          <w:szCs w:val="28"/>
          <w:vertAlign w:val="superscript"/>
        </w:rPr>
        <w:t>2</w:t>
      </w:r>
      <w:r w:rsidRPr="001F0139">
        <w:rPr>
          <w:rFonts w:ascii="Times New Roman" w:hAnsi="Times New Roman" w:cs="Times New Roman"/>
          <w:sz w:val="28"/>
          <w:szCs w:val="28"/>
        </w:rPr>
        <w:t xml:space="preserve"> , что в 2 раза меньше среднего значения по Самарской области (528,2 м</w:t>
      </w:r>
      <w:r w:rsidRPr="001F0139">
        <w:rPr>
          <w:rFonts w:ascii="Times New Roman" w:hAnsi="Times New Roman" w:cs="Times New Roman"/>
          <w:sz w:val="28"/>
          <w:szCs w:val="28"/>
          <w:vertAlign w:val="superscript"/>
        </w:rPr>
        <w:t>2</w:t>
      </w:r>
      <w:r w:rsidRPr="001F0139">
        <w:rPr>
          <w:rFonts w:ascii="Times New Roman" w:hAnsi="Times New Roman" w:cs="Times New Roman"/>
          <w:sz w:val="28"/>
          <w:szCs w:val="28"/>
        </w:rPr>
        <w:t xml:space="preserve">). По данному показателю Камышлинский район находится на 20 месте среди сельских муниципальных образований Самарской области (рис. 1.6.2). </w:t>
      </w:r>
    </w:p>
    <w:p w:rsidR="00FA0047" w:rsidRPr="001F0139" w:rsidRDefault="00FA0047" w:rsidP="001F0139">
      <w:pPr>
        <w:spacing w:after="0" w:line="240" w:lineRule="auto"/>
        <w:jc w:val="center"/>
        <w:rPr>
          <w:rFonts w:ascii="Times New Roman" w:hAnsi="Times New Roman" w:cs="Times New Roman"/>
          <w:color w:val="000000"/>
          <w:sz w:val="28"/>
          <w:szCs w:val="28"/>
        </w:rPr>
      </w:pPr>
      <w:r w:rsidRPr="001F0139">
        <w:rPr>
          <w:rFonts w:ascii="Times New Roman" w:hAnsi="Times New Roman" w:cs="Times New Roman"/>
          <w:noProof/>
          <w:color w:val="000000"/>
          <w:sz w:val="28"/>
          <w:szCs w:val="28"/>
          <w:lang w:eastAsia="ru-RU"/>
        </w:rPr>
        <w:drawing>
          <wp:inline distT="0" distB="0" distL="0" distR="0">
            <wp:extent cx="4395470" cy="3877310"/>
            <wp:effectExtent l="19050" t="0" r="5080" b="0"/>
            <wp:docPr id="48" name="Диаграмма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6"/>
                    <pic:cNvPicPr>
                      <a:picLocks noChangeArrowheads="1"/>
                    </pic:cNvPicPr>
                  </pic:nvPicPr>
                  <pic:blipFill>
                    <a:blip r:embed="rId39" cstate="print"/>
                    <a:srcRect/>
                    <a:stretch>
                      <a:fillRect/>
                    </a:stretch>
                  </pic:blipFill>
                  <pic:spPr bwMode="auto">
                    <a:xfrm>
                      <a:off x="0" y="0"/>
                      <a:ext cx="4395470" cy="3877310"/>
                    </a:xfrm>
                    <a:prstGeom prst="rect">
                      <a:avLst/>
                    </a:prstGeom>
                    <a:noFill/>
                    <a:ln w="9525">
                      <a:noFill/>
                      <a:miter lim="800000"/>
                      <a:headEnd/>
                      <a:tailEnd/>
                    </a:ln>
                  </pic:spPr>
                </pic:pic>
              </a:graphicData>
            </a:graphic>
          </wp:inline>
        </w:drawing>
      </w:r>
    </w:p>
    <w:p w:rsidR="00FA0047" w:rsidRPr="001F0139" w:rsidRDefault="00FA0047" w:rsidP="001F0139">
      <w:pPr>
        <w:widowControl w:val="0"/>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lastRenderedPageBreak/>
        <w:t xml:space="preserve">Рисунок </w:t>
      </w:r>
      <w:r w:rsidRPr="001F0139">
        <w:rPr>
          <w:rFonts w:ascii="Times New Roman" w:hAnsi="Times New Roman" w:cs="Times New Roman"/>
          <w:b/>
          <w:color w:val="000000"/>
          <w:sz w:val="28"/>
          <w:szCs w:val="28"/>
          <w:shd w:val="clear" w:color="auto" w:fill="FFFFFF"/>
        </w:rPr>
        <w:t>1.6.2</w:t>
      </w:r>
      <w:r w:rsidRPr="001F0139">
        <w:rPr>
          <w:rFonts w:ascii="Times New Roman" w:hAnsi="Times New Roman" w:cs="Times New Roman"/>
          <w:b/>
          <w:sz w:val="28"/>
          <w:szCs w:val="28"/>
        </w:rPr>
        <w:t xml:space="preserve"> – Ввод в действие общей площади жилых помещений </w:t>
      </w:r>
    </w:p>
    <w:p w:rsidR="00FA0047" w:rsidRPr="001F0139" w:rsidRDefault="00FA0047" w:rsidP="001F0139">
      <w:pPr>
        <w:widowControl w:val="0"/>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в расчете на 1000 жителей муниципальных районов</w:t>
      </w:r>
    </w:p>
    <w:p w:rsidR="00FA0047" w:rsidRPr="001F0139" w:rsidRDefault="00FA0047" w:rsidP="001F0139">
      <w:pPr>
        <w:widowControl w:val="0"/>
        <w:spacing w:after="0" w:line="240" w:lineRule="auto"/>
        <w:jc w:val="center"/>
        <w:rPr>
          <w:rFonts w:ascii="Times New Roman" w:hAnsi="Times New Roman" w:cs="Times New Roman"/>
          <w:b/>
          <w:sz w:val="28"/>
          <w:szCs w:val="28"/>
          <w:vertAlign w:val="superscript"/>
        </w:rPr>
      </w:pPr>
      <w:r w:rsidRPr="001F0139">
        <w:rPr>
          <w:rFonts w:ascii="Times New Roman" w:hAnsi="Times New Roman" w:cs="Times New Roman"/>
          <w:b/>
          <w:sz w:val="28"/>
          <w:szCs w:val="28"/>
        </w:rPr>
        <w:t>Самарской области за 2016 г., м</w:t>
      </w:r>
      <w:r w:rsidRPr="001F0139">
        <w:rPr>
          <w:rFonts w:ascii="Times New Roman" w:hAnsi="Times New Roman" w:cs="Times New Roman"/>
          <w:b/>
          <w:sz w:val="28"/>
          <w:szCs w:val="28"/>
          <w:vertAlign w:val="superscript"/>
        </w:rPr>
        <w:t>2</w:t>
      </w:r>
    </w:p>
    <w:p w:rsidR="00FA0047" w:rsidRPr="001F0139" w:rsidRDefault="00FA0047" w:rsidP="001F0139">
      <w:pPr>
        <w:widowControl w:val="0"/>
        <w:spacing w:after="0" w:line="240" w:lineRule="auto"/>
        <w:jc w:val="center"/>
        <w:rPr>
          <w:rFonts w:ascii="Times New Roman" w:hAnsi="Times New Roman" w:cs="Times New Roman"/>
          <w:b/>
          <w:sz w:val="28"/>
          <w:szCs w:val="28"/>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За период 2012-2016 гг. в районе было введено в эксплуатацию около 15995 м² жилья. В 2016 году введено в эксплуатацию 2525 м² индивидуального жилья, в том числе индивидуальными застройщиками 2393 м².</w:t>
      </w:r>
      <w:r w:rsidRPr="001F0139">
        <w:rPr>
          <w:rFonts w:ascii="Times New Roman" w:hAnsi="Times New Roman" w:cs="Times New Roman"/>
        </w:rPr>
        <w:t xml:space="preserve"> </w:t>
      </w:r>
      <w:r w:rsidRPr="001F0139">
        <w:rPr>
          <w:rFonts w:ascii="Times New Roman" w:hAnsi="Times New Roman" w:cs="Times New Roman"/>
          <w:sz w:val="28"/>
          <w:szCs w:val="28"/>
        </w:rPr>
        <w:t xml:space="preserve">Доля семей и граждан, состоящих на учете по улучшению жилищных условий в общем числе семей и граждан на конец года увеличилась с 2,7% в 2012г. до 3,1% в 2016 г.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Общая площадь ветхих и аварийных жилых помещений уменьшилась с 4,9 тыс. м</w:t>
      </w:r>
      <w:r w:rsidRPr="001F0139">
        <w:rPr>
          <w:rFonts w:ascii="Times New Roman" w:hAnsi="Times New Roman" w:cs="Times New Roman"/>
          <w:sz w:val="28"/>
          <w:szCs w:val="28"/>
          <w:vertAlign w:val="superscript"/>
        </w:rPr>
        <w:t>2</w:t>
      </w:r>
      <w:r w:rsidRPr="001F0139">
        <w:rPr>
          <w:rFonts w:ascii="Times New Roman" w:hAnsi="Times New Roman" w:cs="Times New Roman"/>
          <w:sz w:val="28"/>
          <w:szCs w:val="28"/>
        </w:rPr>
        <w:t xml:space="preserve"> в 2012 г. до 3 тыс. м</w:t>
      </w:r>
      <w:r w:rsidRPr="001F0139">
        <w:rPr>
          <w:rFonts w:ascii="Times New Roman" w:hAnsi="Times New Roman" w:cs="Times New Roman"/>
          <w:sz w:val="28"/>
          <w:szCs w:val="28"/>
          <w:vertAlign w:val="superscript"/>
        </w:rPr>
        <w:t xml:space="preserve">2 </w:t>
      </w:r>
      <w:r w:rsidRPr="001F0139">
        <w:rPr>
          <w:rFonts w:ascii="Times New Roman" w:hAnsi="Times New Roman" w:cs="Times New Roman"/>
          <w:sz w:val="28"/>
          <w:szCs w:val="28"/>
        </w:rPr>
        <w:t xml:space="preserve">в 2016 г.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Уровень обеспеченности жильем в 2016 г. составил 25,5 м</w:t>
      </w:r>
      <w:r w:rsidRPr="001F0139">
        <w:rPr>
          <w:rFonts w:ascii="Times New Roman" w:hAnsi="Times New Roman" w:cs="Times New Roman"/>
          <w:sz w:val="28"/>
          <w:szCs w:val="28"/>
          <w:vertAlign w:val="superscript"/>
        </w:rPr>
        <w:t>2</w:t>
      </w:r>
      <w:r w:rsidRPr="001F0139">
        <w:rPr>
          <w:rFonts w:ascii="Times New Roman" w:hAnsi="Times New Roman" w:cs="Times New Roman"/>
          <w:sz w:val="28"/>
          <w:szCs w:val="28"/>
        </w:rPr>
        <w:t xml:space="preserve"> на одного жителя (Самарская область 25,0 м</w:t>
      </w:r>
      <w:r w:rsidRPr="001F0139">
        <w:rPr>
          <w:rFonts w:ascii="Times New Roman" w:hAnsi="Times New Roman" w:cs="Times New Roman"/>
          <w:sz w:val="28"/>
          <w:szCs w:val="28"/>
          <w:vertAlign w:val="superscript"/>
        </w:rPr>
        <w:t>2</w:t>
      </w:r>
      <w:r w:rsidRPr="001F0139">
        <w:rPr>
          <w:rFonts w:ascii="Times New Roman" w:hAnsi="Times New Roman" w:cs="Times New Roman"/>
          <w:sz w:val="28"/>
          <w:szCs w:val="28"/>
        </w:rPr>
        <w:t>), что выше среднероссийского значения (23,4 м</w:t>
      </w:r>
      <w:r w:rsidRPr="001F0139">
        <w:rPr>
          <w:rFonts w:ascii="Times New Roman" w:hAnsi="Times New Roman" w:cs="Times New Roman"/>
          <w:sz w:val="28"/>
          <w:szCs w:val="28"/>
          <w:vertAlign w:val="superscript"/>
        </w:rPr>
        <w:t>2</w:t>
      </w:r>
      <w:r w:rsidRPr="001F0139">
        <w:rPr>
          <w:rFonts w:ascii="Times New Roman" w:hAnsi="Times New Roman" w:cs="Times New Roman"/>
          <w:sz w:val="28"/>
          <w:szCs w:val="28"/>
        </w:rPr>
        <w:t>) и среднего по Приволжскому федеральному округу (23,6 м</w:t>
      </w:r>
      <w:r w:rsidRPr="001F0139">
        <w:rPr>
          <w:rFonts w:ascii="Times New Roman" w:hAnsi="Times New Roman" w:cs="Times New Roman"/>
          <w:sz w:val="28"/>
          <w:szCs w:val="28"/>
          <w:vertAlign w:val="superscript"/>
        </w:rPr>
        <w:t>2</w:t>
      </w:r>
      <w:r w:rsidRPr="001F0139">
        <w:rPr>
          <w:rFonts w:ascii="Times New Roman" w:hAnsi="Times New Roman" w:cs="Times New Roman"/>
          <w:sz w:val="28"/>
          <w:szCs w:val="28"/>
        </w:rPr>
        <w:t>). По этому показателю Камышлинский район занимает 16 место среди муниципальных районов Самарской области по итогам 2016 года. В период до 2019 года общую площадь жилых помещений, приходящихся в среднем на одного жителя планируется увеличить до 26,4 м</w:t>
      </w:r>
      <w:r w:rsidRPr="001F0139">
        <w:rPr>
          <w:rFonts w:ascii="Times New Roman" w:hAnsi="Times New Roman" w:cs="Times New Roman"/>
          <w:sz w:val="28"/>
          <w:szCs w:val="28"/>
          <w:vertAlign w:val="superscript"/>
        </w:rPr>
        <w:t xml:space="preserve">2 </w:t>
      </w:r>
      <w:r w:rsidRPr="001F0139">
        <w:rPr>
          <w:rFonts w:ascii="Times New Roman" w:hAnsi="Times New Roman" w:cs="Times New Roman"/>
          <w:sz w:val="28"/>
          <w:szCs w:val="28"/>
        </w:rPr>
        <w:t>за счет ввода нового жилья и реконструкции существующего жилья.</w:t>
      </w:r>
    </w:p>
    <w:p w:rsidR="00FA0047" w:rsidRPr="001F0139" w:rsidRDefault="00FA0047" w:rsidP="001F0139">
      <w:pPr>
        <w:spacing w:after="0" w:line="360" w:lineRule="auto"/>
        <w:ind w:firstLine="709"/>
        <w:jc w:val="both"/>
        <w:rPr>
          <w:rFonts w:ascii="Times New Roman" w:hAnsi="Times New Roman" w:cs="Times New Roman"/>
          <w:color w:val="000000"/>
          <w:sz w:val="28"/>
          <w:szCs w:val="28"/>
        </w:rPr>
      </w:pPr>
      <w:r w:rsidRPr="001F0139">
        <w:rPr>
          <w:rFonts w:ascii="Times New Roman" w:hAnsi="Times New Roman" w:cs="Times New Roman"/>
          <w:sz w:val="28"/>
          <w:szCs w:val="28"/>
        </w:rPr>
        <w:t xml:space="preserve">В 2017 г. началась реализация федерального проекта </w:t>
      </w:r>
      <w:r w:rsidRPr="001F0139">
        <w:rPr>
          <w:rFonts w:ascii="Times New Roman" w:hAnsi="Times New Roman" w:cs="Times New Roman"/>
          <w:color w:val="000000"/>
          <w:sz w:val="28"/>
          <w:szCs w:val="28"/>
        </w:rPr>
        <w:t xml:space="preserve">«Формирование комфортной </w:t>
      </w:r>
      <w:r w:rsidR="00705A44">
        <w:rPr>
          <w:rFonts w:ascii="Times New Roman" w:hAnsi="Times New Roman" w:cs="Times New Roman"/>
          <w:color w:val="000000"/>
          <w:sz w:val="28"/>
          <w:szCs w:val="28"/>
        </w:rPr>
        <w:t>город</w:t>
      </w:r>
      <w:r w:rsidRPr="001F0139">
        <w:rPr>
          <w:rFonts w:ascii="Times New Roman" w:hAnsi="Times New Roman" w:cs="Times New Roman"/>
          <w:color w:val="000000"/>
          <w:sz w:val="28"/>
          <w:szCs w:val="28"/>
        </w:rPr>
        <w:t>ской среды». С 2018 г.</w:t>
      </w:r>
      <w:r w:rsidR="00705A44">
        <w:rPr>
          <w:rFonts w:ascii="Times New Roman" w:hAnsi="Times New Roman" w:cs="Times New Roman"/>
          <w:color w:val="000000"/>
          <w:sz w:val="28"/>
          <w:szCs w:val="28"/>
        </w:rPr>
        <w:t xml:space="preserve">, в течение 5 лет, </w:t>
      </w:r>
      <w:r w:rsidRPr="001F0139">
        <w:rPr>
          <w:rFonts w:ascii="Times New Roman" w:hAnsi="Times New Roman" w:cs="Times New Roman"/>
          <w:color w:val="000000"/>
          <w:sz w:val="28"/>
          <w:szCs w:val="28"/>
        </w:rPr>
        <w:t xml:space="preserve">Камышлинский район будет принимать участие в реализации данного проекта, который предусматривает два направления: </w:t>
      </w:r>
    </w:p>
    <w:p w:rsidR="00FA0047" w:rsidRPr="001F0139" w:rsidRDefault="00FA0047" w:rsidP="001F0139">
      <w:pPr>
        <w:numPr>
          <w:ilvl w:val="0"/>
          <w:numId w:val="42"/>
        </w:numPr>
        <w:spacing w:after="0" w:line="360" w:lineRule="auto"/>
        <w:ind w:left="0" w:firstLine="709"/>
        <w:jc w:val="both"/>
        <w:rPr>
          <w:rFonts w:ascii="Times New Roman" w:hAnsi="Times New Roman" w:cs="Times New Roman"/>
          <w:color w:val="000000"/>
          <w:sz w:val="28"/>
          <w:szCs w:val="28"/>
        </w:rPr>
      </w:pPr>
      <w:r w:rsidRPr="001F0139">
        <w:rPr>
          <w:rFonts w:ascii="Times New Roman" w:hAnsi="Times New Roman" w:cs="Times New Roman"/>
          <w:color w:val="000000"/>
          <w:sz w:val="28"/>
          <w:szCs w:val="28"/>
        </w:rPr>
        <w:t>благоустройство дворовых территорий;</w:t>
      </w:r>
    </w:p>
    <w:p w:rsidR="00FA0047" w:rsidRPr="001F0139" w:rsidRDefault="00FA0047" w:rsidP="001F0139">
      <w:pPr>
        <w:numPr>
          <w:ilvl w:val="0"/>
          <w:numId w:val="42"/>
        </w:numPr>
        <w:spacing w:after="0" w:line="360" w:lineRule="auto"/>
        <w:ind w:left="0" w:firstLine="709"/>
        <w:jc w:val="both"/>
        <w:rPr>
          <w:rFonts w:ascii="Times New Roman" w:hAnsi="Times New Roman" w:cs="Times New Roman"/>
          <w:color w:val="000000"/>
          <w:sz w:val="28"/>
          <w:szCs w:val="28"/>
        </w:rPr>
      </w:pPr>
      <w:r w:rsidRPr="001F0139">
        <w:rPr>
          <w:rFonts w:ascii="Times New Roman" w:hAnsi="Times New Roman" w:cs="Times New Roman"/>
          <w:color w:val="000000"/>
          <w:sz w:val="28"/>
          <w:szCs w:val="28"/>
        </w:rPr>
        <w:t>благоустройство муниципальных территорий общего пользования и мест массового отдыха населения.</w:t>
      </w:r>
    </w:p>
    <w:p w:rsidR="00FA0047" w:rsidRPr="001F0139" w:rsidRDefault="00FA0047" w:rsidP="001F013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1F0139">
        <w:rPr>
          <w:rFonts w:ascii="Times New Roman" w:eastAsia="Times New Roman" w:hAnsi="Times New Roman" w:cs="Times New Roman"/>
          <w:sz w:val="28"/>
          <w:szCs w:val="28"/>
        </w:rPr>
        <w:t xml:space="preserve">В муниципальную программу, подготовленную управлением строительства, архитектуры и ЖКХ совместно с администрациями сельских поселений с учетом мнения жителей района, вошли все многоквартирные дома райцентра и ДРП-3. Кроме того, </w:t>
      </w:r>
      <w:r w:rsidR="00705A44">
        <w:rPr>
          <w:rFonts w:ascii="Times New Roman" w:eastAsia="Times New Roman" w:hAnsi="Times New Roman" w:cs="Times New Roman"/>
          <w:sz w:val="28"/>
          <w:szCs w:val="28"/>
        </w:rPr>
        <w:t xml:space="preserve">осуществляется </w:t>
      </w:r>
      <w:r w:rsidRPr="001F0139">
        <w:rPr>
          <w:rFonts w:ascii="Times New Roman" w:eastAsia="Times New Roman" w:hAnsi="Times New Roman" w:cs="Times New Roman"/>
          <w:sz w:val="28"/>
          <w:szCs w:val="28"/>
        </w:rPr>
        <w:t>благоустро</w:t>
      </w:r>
      <w:r w:rsidR="00705A44">
        <w:rPr>
          <w:rFonts w:ascii="Times New Roman" w:eastAsia="Times New Roman" w:hAnsi="Times New Roman" w:cs="Times New Roman"/>
          <w:sz w:val="28"/>
          <w:szCs w:val="28"/>
        </w:rPr>
        <w:t>йство</w:t>
      </w:r>
      <w:r w:rsidRPr="001F0139">
        <w:rPr>
          <w:rFonts w:ascii="Times New Roman" w:eastAsia="Times New Roman" w:hAnsi="Times New Roman" w:cs="Times New Roman"/>
          <w:sz w:val="28"/>
          <w:szCs w:val="28"/>
        </w:rPr>
        <w:t xml:space="preserve"> </w:t>
      </w:r>
      <w:r w:rsidRPr="001F0139">
        <w:rPr>
          <w:rFonts w:ascii="Times New Roman" w:eastAsia="Times New Roman" w:hAnsi="Times New Roman" w:cs="Times New Roman"/>
          <w:sz w:val="28"/>
          <w:szCs w:val="28"/>
        </w:rPr>
        <w:lastRenderedPageBreak/>
        <w:t>общественны</w:t>
      </w:r>
      <w:r w:rsidR="00705A44">
        <w:rPr>
          <w:rFonts w:ascii="Times New Roman" w:eastAsia="Times New Roman" w:hAnsi="Times New Roman" w:cs="Times New Roman"/>
          <w:sz w:val="28"/>
          <w:szCs w:val="28"/>
        </w:rPr>
        <w:t>х</w:t>
      </w:r>
      <w:r w:rsidRPr="001F0139">
        <w:rPr>
          <w:rFonts w:ascii="Times New Roman" w:eastAsia="Times New Roman" w:hAnsi="Times New Roman" w:cs="Times New Roman"/>
          <w:sz w:val="28"/>
          <w:szCs w:val="28"/>
        </w:rPr>
        <w:t xml:space="preserve"> пространств в трех сельских поселениях (программа предусматривает финансирование населенных пунктов, где проживает население более 1000 человек). Это территории административных центров Камышла, Новое Усманово и Старое Ермаково (площади вокруг памятников, учреждений культуры и т.д.). Приоритетными являются территории, определяющие «лицо» и внешний вид села. Данная программа</w:t>
      </w:r>
      <w:r w:rsidRPr="001F0139">
        <w:rPr>
          <w:rFonts w:ascii="Times New Roman" w:eastAsia="Times New Roman" w:hAnsi="Times New Roman" w:cs="Times New Roman"/>
          <w:color w:val="000000"/>
          <w:sz w:val="21"/>
          <w:szCs w:val="21"/>
          <w:lang w:eastAsia="ru-RU"/>
        </w:rPr>
        <w:t xml:space="preserve"> </w:t>
      </w:r>
      <w:r w:rsidRPr="001F0139">
        <w:rPr>
          <w:rFonts w:ascii="Times New Roman" w:eastAsia="Times New Roman" w:hAnsi="Times New Roman" w:cs="Times New Roman"/>
          <w:color w:val="000000"/>
          <w:sz w:val="28"/>
          <w:szCs w:val="28"/>
          <w:lang w:eastAsia="ru-RU"/>
        </w:rPr>
        <w:t>подразумевает собой благоустройство именно центральной части села, где ежедневно проходит наибольший поток людей.</w:t>
      </w:r>
    </w:p>
    <w:p w:rsidR="00FA0047" w:rsidRPr="001F0139" w:rsidRDefault="00FA0047" w:rsidP="001F0139">
      <w:pPr>
        <w:shd w:val="clear" w:color="auto" w:fill="FFFFFF"/>
        <w:spacing w:after="0" w:line="360" w:lineRule="auto"/>
        <w:ind w:firstLine="709"/>
        <w:jc w:val="both"/>
        <w:textAlignment w:val="baseline"/>
        <w:rPr>
          <w:rFonts w:ascii="Times New Roman" w:eastAsia="Times New Roman" w:hAnsi="Times New Roman" w:cs="Times New Roman"/>
          <w:color w:val="000000"/>
          <w:sz w:val="20"/>
          <w:szCs w:val="20"/>
          <w:lang w:eastAsia="ru-RU"/>
        </w:rPr>
      </w:pPr>
    </w:p>
    <w:p w:rsidR="00FA0047" w:rsidRPr="001F0139" w:rsidRDefault="00FA0047" w:rsidP="001F0139">
      <w:pPr>
        <w:spacing w:after="0" w:line="360" w:lineRule="auto"/>
        <w:contextualSpacing/>
        <w:outlineLvl w:val="2"/>
        <w:rPr>
          <w:rFonts w:ascii="Times New Roman" w:hAnsi="Times New Roman" w:cs="Times New Roman"/>
          <w:b/>
          <w:color w:val="365F91"/>
          <w:sz w:val="28"/>
          <w:szCs w:val="28"/>
        </w:rPr>
      </w:pPr>
      <w:bookmarkStart w:id="26" w:name="_Toc520894848"/>
      <w:r w:rsidRPr="001F0139">
        <w:rPr>
          <w:rFonts w:ascii="Times New Roman" w:hAnsi="Times New Roman" w:cs="Times New Roman"/>
          <w:b/>
          <w:color w:val="365F91"/>
          <w:sz w:val="28"/>
          <w:szCs w:val="28"/>
        </w:rPr>
        <w:t>Жилищно-коммунальное хозяйство</w:t>
      </w:r>
      <w:bookmarkEnd w:id="26"/>
    </w:p>
    <w:p w:rsidR="00FA0047" w:rsidRPr="001F0139" w:rsidRDefault="00FA0047" w:rsidP="001F0139">
      <w:pPr>
        <w:spacing w:after="0" w:line="360" w:lineRule="auto"/>
        <w:ind w:firstLine="709"/>
        <w:contextualSpacing/>
        <w:rPr>
          <w:rFonts w:ascii="Times New Roman" w:hAnsi="Times New Roman" w:cs="Times New Roman"/>
          <w:b/>
          <w:color w:val="0070C0"/>
          <w:sz w:val="20"/>
          <w:szCs w:val="20"/>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Жилищно-коммунальные услуги в Камышлинском районе оказывают четыре предприятия. В сфере теплоснабжения – муниципальное унитарное предприятие «КомХоз», которому переданы в оперативное управление муниципальные объекты теплоснабжения (котельные и тепловые сети). В сфере водоснабжения населения и юридических лиц – ООО «Родник», МУП ЖКХ «Исток». Управлением и содержанием многоквартирных жилых домов, расположенных в селе Камышла, занимается управляющая компания ООО «Жилпром».</w:t>
      </w:r>
    </w:p>
    <w:p w:rsidR="00FA0047" w:rsidRPr="001F0139" w:rsidRDefault="00FA0047" w:rsidP="001F0139">
      <w:pPr>
        <w:spacing w:after="0" w:line="360" w:lineRule="auto"/>
        <w:ind w:firstLine="709"/>
        <w:jc w:val="both"/>
        <w:rPr>
          <w:rFonts w:ascii="Times New Roman" w:hAnsi="Times New Roman" w:cs="Times New Roman"/>
          <w:sz w:val="18"/>
          <w:szCs w:val="18"/>
        </w:rPr>
      </w:pPr>
      <w:r w:rsidRPr="001F0139">
        <w:rPr>
          <w:rFonts w:ascii="Times New Roman" w:hAnsi="Times New Roman" w:cs="Times New Roman"/>
          <w:spacing w:val="-20"/>
          <w:sz w:val="28"/>
          <w:szCs w:val="28"/>
        </w:rPr>
        <w:t>Данные по уровню благоустройства жилого фонда представлены на рис. 1.6.3.</w:t>
      </w:r>
    </w:p>
    <w:p w:rsidR="00FA0047" w:rsidRPr="001F0139" w:rsidRDefault="00FA0047" w:rsidP="001F0139">
      <w:pPr>
        <w:spacing w:after="0" w:line="240" w:lineRule="auto"/>
        <w:rPr>
          <w:rFonts w:ascii="Times New Roman" w:hAnsi="Times New Roman" w:cs="Times New Roman"/>
          <w:sz w:val="28"/>
          <w:szCs w:val="28"/>
        </w:rPr>
      </w:pPr>
      <w:r w:rsidRPr="001F0139">
        <w:rPr>
          <w:rFonts w:ascii="Times New Roman" w:hAnsi="Times New Roman" w:cs="Times New Roman"/>
          <w:noProof/>
          <w:sz w:val="28"/>
          <w:szCs w:val="28"/>
          <w:lang w:eastAsia="ru-RU"/>
        </w:rPr>
        <w:drawing>
          <wp:inline distT="0" distB="0" distL="0" distR="0">
            <wp:extent cx="5953506" cy="3240151"/>
            <wp:effectExtent l="0" t="0" r="0" b="0"/>
            <wp:docPr id="49"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A0047" w:rsidRPr="001F0139" w:rsidRDefault="00FA0047" w:rsidP="001F0139">
      <w:pPr>
        <w:widowControl w:val="0"/>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lastRenderedPageBreak/>
        <w:t xml:space="preserve">Рисунок </w:t>
      </w:r>
      <w:r w:rsidRPr="001F0139">
        <w:rPr>
          <w:rFonts w:ascii="Times New Roman" w:hAnsi="Times New Roman" w:cs="Times New Roman"/>
          <w:b/>
          <w:color w:val="000000"/>
          <w:sz w:val="28"/>
          <w:szCs w:val="28"/>
          <w:shd w:val="clear" w:color="auto" w:fill="FFFFFF"/>
        </w:rPr>
        <w:t>1.6.3</w:t>
      </w:r>
      <w:r w:rsidRPr="001F0139">
        <w:rPr>
          <w:rFonts w:ascii="Times New Roman" w:hAnsi="Times New Roman" w:cs="Times New Roman"/>
          <w:b/>
          <w:sz w:val="28"/>
          <w:szCs w:val="28"/>
        </w:rPr>
        <w:t xml:space="preserve"> – Уровень благоустройства жилого фонда </w:t>
      </w:r>
    </w:p>
    <w:p w:rsidR="00FA0047" w:rsidRPr="001F0139" w:rsidRDefault="00FA0047" w:rsidP="001F0139">
      <w:pPr>
        <w:widowControl w:val="0"/>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Камышлинского района в 2012-2016 гг.</w:t>
      </w:r>
    </w:p>
    <w:p w:rsidR="00FA0047" w:rsidRPr="001F0139" w:rsidRDefault="00FA0047" w:rsidP="001F0139">
      <w:pPr>
        <w:widowControl w:val="0"/>
        <w:spacing w:after="0" w:line="240" w:lineRule="auto"/>
        <w:jc w:val="center"/>
        <w:rPr>
          <w:rFonts w:ascii="Times New Roman" w:hAnsi="Times New Roman" w:cs="Times New Roman"/>
          <w:b/>
          <w:sz w:val="28"/>
          <w:szCs w:val="28"/>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2016 г. обеспеченность водопроводом составила 48,1%. Хотя по сравнению с 2012 г. уровень обеспеченности водопроводом увеличился в 1,7 раза, это значение гораздо ниже, чем в целом по Самарской области (89%). Мощность водопроводов на хозяйственно-питьевые цели района оставалась постоянной с 2012 г. и составила 876 тыс.м</w:t>
      </w:r>
      <w:r w:rsidRPr="001F0139">
        <w:rPr>
          <w:rFonts w:ascii="Times New Roman" w:hAnsi="Times New Roman" w:cs="Times New Roman"/>
          <w:sz w:val="28"/>
          <w:szCs w:val="28"/>
          <w:vertAlign w:val="superscript"/>
        </w:rPr>
        <w:t>3</w:t>
      </w:r>
      <w:r w:rsidRPr="001F0139">
        <w:rPr>
          <w:rFonts w:ascii="Times New Roman" w:hAnsi="Times New Roman" w:cs="Times New Roman"/>
          <w:sz w:val="28"/>
          <w:szCs w:val="28"/>
        </w:rPr>
        <w:t xml:space="preserve"> в год. Отпущено воды всем потребителям 227,8 тыс.м</w:t>
      </w:r>
      <w:r w:rsidRPr="001F0139">
        <w:rPr>
          <w:rFonts w:ascii="Times New Roman" w:hAnsi="Times New Roman" w:cs="Times New Roman"/>
          <w:sz w:val="28"/>
          <w:szCs w:val="28"/>
          <w:vertAlign w:val="superscript"/>
        </w:rPr>
        <w:t>3</w:t>
      </w:r>
      <w:r w:rsidRPr="001F0139">
        <w:rPr>
          <w:rFonts w:ascii="Times New Roman" w:hAnsi="Times New Roman" w:cs="Times New Roman"/>
          <w:sz w:val="28"/>
          <w:szCs w:val="28"/>
        </w:rPr>
        <w:t xml:space="preserve"> в год (в 2012 г. – 313,1 тыс.м</w:t>
      </w:r>
      <w:r w:rsidRPr="001F0139">
        <w:rPr>
          <w:rFonts w:ascii="Times New Roman" w:hAnsi="Times New Roman" w:cs="Times New Roman"/>
          <w:sz w:val="28"/>
          <w:szCs w:val="28"/>
          <w:vertAlign w:val="superscript"/>
        </w:rPr>
        <w:t>3</w:t>
      </w:r>
      <w:r w:rsidRPr="001F0139">
        <w:rPr>
          <w:rFonts w:ascii="Times New Roman" w:hAnsi="Times New Roman" w:cs="Times New Roman"/>
          <w:sz w:val="28"/>
          <w:szCs w:val="28"/>
        </w:rPr>
        <w:t xml:space="preserve"> в год) . Среднесуточное потребление воды в расчете на 1 жителя составляет 57,3 литров в сутки. Протяженность водопроводных сетей составляет 124,2 км (в 2012 г. – 118,7 км) при их высоком физическом износе 85%.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За счет строительства водоводов и водопроводных сетей, водозаборов, облагораживания природных родников большинство населения района пользуется чистой родниковой водой. В целом по району дефицита по запасам подземных вод нет. Недостатки в водоснабжении в тех или иных населенных пунктах связаны с низким техническим обеспечением водопроводных систем и с сезонным летним использованием питьевой водопроводной воды для полива садов и о</w:t>
      </w:r>
      <w:r w:rsidR="005528E3">
        <w:rPr>
          <w:rFonts w:ascii="Times New Roman" w:hAnsi="Times New Roman" w:cs="Times New Roman"/>
          <w:sz w:val="28"/>
          <w:szCs w:val="28"/>
        </w:rPr>
        <w:t>городо</w:t>
      </w:r>
      <w:r w:rsidRPr="001F0139">
        <w:rPr>
          <w:rFonts w:ascii="Times New Roman" w:hAnsi="Times New Roman" w:cs="Times New Roman"/>
          <w:sz w:val="28"/>
          <w:szCs w:val="28"/>
        </w:rPr>
        <w:t>в. Существующая сеть водопровода в основном построена в 50-е годы и частично обновлена в 1991-1995 гг. В 2010-2015 годах в селах Камышла и Новое Усманово проведена реконструкция водопроводных сетей общей протяженностью около 11,34 км. В связи с высокой степенью изношенности системы водоснабжения района утечка питьевой воды составляет более 13% от ее добычи. Необходима модернизация существующей системы водоснабжения. В 2003 году начато строительство новых очистных сооружений, финансирование которых в основном осуществляется за счет средств областного и местного бюджетов. На сегодняшний день освоено лишь 5% сметной стоимости строительства.</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Уровень обеспеченности системой водоотведения (канализацией) в Камышлинском районе имеет положительную динамику (в 2012 г. – 28%, в </w:t>
      </w:r>
      <w:r w:rsidRPr="001F0139">
        <w:rPr>
          <w:rFonts w:ascii="Times New Roman" w:hAnsi="Times New Roman" w:cs="Times New Roman"/>
          <w:sz w:val="28"/>
          <w:szCs w:val="28"/>
        </w:rPr>
        <w:lastRenderedPageBreak/>
        <w:t>2016 г. – 36,8%), но отстает от среднеобластного уровня (87%). Степень износа систем водоотведения составляет 92%.</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Камышлинский район имеет высокий уровень газификаци</w:t>
      </w:r>
      <w:r w:rsidR="00132426">
        <w:rPr>
          <w:rFonts w:ascii="Times New Roman" w:hAnsi="Times New Roman" w:cs="Times New Roman"/>
          <w:sz w:val="28"/>
          <w:szCs w:val="28"/>
        </w:rPr>
        <w:t>и</w:t>
      </w:r>
      <w:r w:rsidRPr="001F0139">
        <w:rPr>
          <w:rFonts w:ascii="Times New Roman" w:hAnsi="Times New Roman" w:cs="Times New Roman"/>
          <w:sz w:val="28"/>
          <w:szCs w:val="28"/>
        </w:rPr>
        <w:t xml:space="preserve"> жилого фонда сетевым газом (98,3% в 2016 г. при среднем значении по РФ – 67%</w:t>
      </w:r>
      <w:r w:rsidR="00132426">
        <w:rPr>
          <w:rFonts w:ascii="Times New Roman" w:hAnsi="Times New Roman" w:cs="Times New Roman"/>
          <w:sz w:val="28"/>
          <w:szCs w:val="28"/>
        </w:rPr>
        <w:t>,</w:t>
      </w:r>
      <w:r w:rsidRPr="001F0139">
        <w:rPr>
          <w:rFonts w:ascii="Times New Roman" w:hAnsi="Times New Roman" w:cs="Times New Roman"/>
          <w:sz w:val="28"/>
          <w:szCs w:val="28"/>
        </w:rPr>
        <w:t xml:space="preserve"> по Самарской области – 75%). </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настоящее время в районе работа</w:t>
      </w:r>
      <w:r w:rsidR="000C5333">
        <w:rPr>
          <w:rFonts w:ascii="Times New Roman" w:hAnsi="Times New Roman" w:cs="Times New Roman"/>
          <w:sz w:val="28"/>
          <w:szCs w:val="28"/>
        </w:rPr>
        <w:t>ю</w:t>
      </w:r>
      <w:r w:rsidRPr="001F0139">
        <w:rPr>
          <w:rFonts w:ascii="Times New Roman" w:hAnsi="Times New Roman" w:cs="Times New Roman"/>
          <w:sz w:val="28"/>
          <w:szCs w:val="28"/>
        </w:rPr>
        <w:t>т 62 котельные мощностью 15,9 Гкал/час, которые обслуживают жилые объекты и объекты социальной сферы. Общая протяженность тепловых сетей Камышлинского района составляет 6,1 км.</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Общая протяженность линий электропередач на территории Камышлинского района составляет 470,6 км (в 2012 г. – 438 км). Потребление электроэнергии увеличилось за период 2012 – 2016 гг. с 28,7 до 42,4 млн. кВт·ч.</w:t>
      </w:r>
    </w:p>
    <w:p w:rsidR="00FA0047" w:rsidRPr="001F0139" w:rsidRDefault="00522C01" w:rsidP="001F0139">
      <w:pPr>
        <w:tabs>
          <w:tab w:val="left" w:pos="14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FA0047" w:rsidRPr="001F0139">
        <w:rPr>
          <w:rFonts w:ascii="Times New Roman" w:hAnsi="Times New Roman" w:cs="Times New Roman"/>
          <w:sz w:val="28"/>
          <w:szCs w:val="28"/>
        </w:rPr>
        <w:t>дельная величина потребления электрической энергии в многоквартирных домах незначительно выросла вследствие введения нового многоквартирного дома. В последующие годы уровень показателя не должен увеличиться, возможно незначительное снижение потребления.</w:t>
      </w:r>
    </w:p>
    <w:p w:rsidR="00FA0047" w:rsidRPr="001F0139" w:rsidRDefault="00FA0047" w:rsidP="001F0139">
      <w:pPr>
        <w:tabs>
          <w:tab w:val="left" w:pos="1440"/>
        </w:tabs>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Расход тепловой энергии в МКД в 2016 году, приходящийся на 1 кв.м., стабилен и составил 0,3 Гкал на 1 кв.м. Динамика значения в последующие годы значительно не изменится.</w:t>
      </w:r>
    </w:p>
    <w:p w:rsidR="00FA0047" w:rsidRPr="001F0139" w:rsidRDefault="00FA0047" w:rsidP="001F0139">
      <w:pPr>
        <w:tabs>
          <w:tab w:val="left" w:pos="1440"/>
        </w:tabs>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Величина электрической энергии, потребленной муниципальными бюджетными учреждениями составила 60,5 кВт·ч на 1 человека населения, что выше уровня предыдущих лет. Данное увеличение вызвано отоплением ряда объектов электрическими приборами. В прогнозируемом периоде предполагается снижение потребления электрической энергии муниципальными бюджетными учреждениями вследствие продолжения практики применения в муниципальных организациях энергосберегающих технологий (реализация Программы энергосбережения и повышения энергетической эффективности в муниципальном районе Камышлинский).</w:t>
      </w:r>
    </w:p>
    <w:p w:rsidR="00FA0047" w:rsidRPr="001F013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8"/>
          <w:szCs w:val="28"/>
          <w:lang w:eastAsia="hi-IN" w:bidi="hi-IN"/>
        </w:rPr>
      </w:pPr>
      <w:r w:rsidRPr="001F0139">
        <w:rPr>
          <w:rFonts w:ascii="Times New Roman" w:eastAsia="Times New Roman" w:hAnsi="Times New Roman" w:cs="Times New Roman"/>
          <w:color w:val="00000A"/>
          <w:kern w:val="2"/>
          <w:sz w:val="28"/>
          <w:szCs w:val="28"/>
          <w:lang w:eastAsia="hi-IN" w:bidi="hi-IN"/>
        </w:rPr>
        <w:lastRenderedPageBreak/>
        <w:t>Величина потребления холодной воды в муниципальных организациях составила 0,7 куб. м. на 1 человека населения в связи с установкой в учебных заведениях приборов учёта. В последующие годы значительных изменений данного показателя не предвидится.</w:t>
      </w:r>
    </w:p>
    <w:p w:rsidR="00FA0047" w:rsidRPr="001F013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8"/>
          <w:szCs w:val="28"/>
          <w:lang w:eastAsia="hi-IN" w:bidi="hi-IN"/>
        </w:rPr>
      </w:pPr>
      <w:r w:rsidRPr="001F0139">
        <w:rPr>
          <w:rFonts w:ascii="Times New Roman" w:eastAsia="Times New Roman" w:hAnsi="Times New Roman" w:cs="Times New Roman"/>
          <w:color w:val="00000A"/>
          <w:kern w:val="2"/>
          <w:sz w:val="28"/>
          <w:szCs w:val="28"/>
          <w:lang w:eastAsia="hi-IN" w:bidi="hi-IN"/>
        </w:rPr>
        <w:t>По показателям благоустройства территории не произошло изменений в 2012 – 2016 гг.: доля освещаемых частей улиц составляет 81,5%, площадь зеленых насаждений общего пользования – 17825 м</w:t>
      </w:r>
      <w:r w:rsidRPr="001F0139">
        <w:rPr>
          <w:rFonts w:ascii="Times New Roman" w:eastAsia="Times New Roman" w:hAnsi="Times New Roman" w:cs="Times New Roman"/>
          <w:color w:val="00000A"/>
          <w:kern w:val="2"/>
          <w:sz w:val="28"/>
          <w:szCs w:val="28"/>
          <w:vertAlign w:val="superscript"/>
          <w:lang w:eastAsia="hi-IN" w:bidi="hi-IN"/>
        </w:rPr>
        <w:t>2</w:t>
      </w:r>
      <w:r w:rsidRPr="001F0139">
        <w:rPr>
          <w:rFonts w:ascii="Times New Roman" w:eastAsia="Times New Roman" w:hAnsi="Times New Roman" w:cs="Times New Roman"/>
          <w:color w:val="00000A"/>
          <w:kern w:val="2"/>
          <w:sz w:val="28"/>
          <w:szCs w:val="28"/>
          <w:lang w:eastAsia="hi-IN" w:bidi="hi-IN"/>
        </w:rPr>
        <w:t>, или 1,6 м</w:t>
      </w:r>
      <w:r w:rsidRPr="001F0139">
        <w:rPr>
          <w:rFonts w:ascii="Times New Roman" w:eastAsia="Times New Roman" w:hAnsi="Times New Roman" w:cs="Times New Roman"/>
          <w:color w:val="00000A"/>
          <w:kern w:val="2"/>
          <w:sz w:val="28"/>
          <w:szCs w:val="28"/>
          <w:vertAlign w:val="superscript"/>
          <w:lang w:eastAsia="hi-IN" w:bidi="hi-IN"/>
        </w:rPr>
        <w:t>2</w:t>
      </w:r>
      <w:r w:rsidRPr="001F0139">
        <w:rPr>
          <w:rFonts w:ascii="Times New Roman" w:eastAsia="Times New Roman" w:hAnsi="Times New Roman" w:cs="Times New Roman"/>
          <w:color w:val="00000A"/>
          <w:kern w:val="2"/>
          <w:sz w:val="28"/>
          <w:szCs w:val="28"/>
          <w:lang w:eastAsia="hi-IN" w:bidi="hi-IN"/>
        </w:rPr>
        <w:t xml:space="preserve"> в расчете на одного жителя.</w:t>
      </w:r>
    </w:p>
    <w:p w:rsidR="00FA0047" w:rsidRPr="001F013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8"/>
          <w:szCs w:val="28"/>
          <w:lang w:eastAsia="hi-IN" w:bidi="hi-IN"/>
        </w:rPr>
      </w:pPr>
      <w:r w:rsidRPr="001F0139">
        <w:rPr>
          <w:rFonts w:ascii="Times New Roman" w:eastAsia="Times New Roman" w:hAnsi="Times New Roman" w:cs="Times New Roman"/>
          <w:color w:val="00000A"/>
          <w:kern w:val="2"/>
          <w:sz w:val="28"/>
          <w:szCs w:val="28"/>
          <w:lang w:eastAsia="hi-IN" w:bidi="hi-IN"/>
        </w:rPr>
        <w:t>В 2012 году за счет субсидий из областного бюджета и софинасирования из местного бюджета в размере 4,8 млн. рублей были отремонтированы теплотрассы, заменены котлы в котельной №3, установлено оборудование в котельных и насосных станциях, осуществлено обустройство водозаборов.</w:t>
      </w:r>
    </w:p>
    <w:p w:rsidR="00FA0047" w:rsidRPr="001F013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8"/>
          <w:szCs w:val="28"/>
          <w:lang w:eastAsia="hi-IN" w:bidi="hi-IN"/>
        </w:rPr>
      </w:pPr>
      <w:r w:rsidRPr="001F0139">
        <w:rPr>
          <w:rFonts w:ascii="Times New Roman" w:eastAsia="Times New Roman" w:hAnsi="Times New Roman" w:cs="Times New Roman"/>
          <w:color w:val="00000A"/>
          <w:kern w:val="2"/>
          <w:sz w:val="28"/>
          <w:szCs w:val="28"/>
          <w:lang w:eastAsia="hi-IN" w:bidi="hi-IN"/>
        </w:rPr>
        <w:t>В 2013 году проведено техническое перевооружение котельной №1 в селе Камышла на сумму 8,7 млн. рублей. Заменены и утеплены современными материалами более 2 км тепловых сетей. Осуществлено проектирование и строительство газопровода низкого давления в селе Камышла протяженностью 200 метров на сумму 352 тыс. рублей и газопровода высокого давления в селе Новое Усманово протяженностью 200 метров на сумму 488 тыс. рублей.</w:t>
      </w:r>
    </w:p>
    <w:p w:rsidR="00FA0047" w:rsidRPr="001F013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8"/>
          <w:szCs w:val="28"/>
          <w:lang w:eastAsia="hi-IN" w:bidi="hi-IN"/>
        </w:rPr>
      </w:pPr>
      <w:r w:rsidRPr="001F0139">
        <w:rPr>
          <w:rFonts w:ascii="Times New Roman" w:eastAsia="Times New Roman" w:hAnsi="Times New Roman" w:cs="Times New Roman"/>
          <w:color w:val="00000A"/>
          <w:kern w:val="2"/>
          <w:sz w:val="28"/>
          <w:szCs w:val="28"/>
          <w:lang w:eastAsia="hi-IN" w:bidi="hi-IN"/>
        </w:rPr>
        <w:t>В 2015 году МУП ЖКХ «Исток» (с привлечением инвестиционных средств ООО «БайТекс» (600 тыс. рублей) и средств бюджета поселения (750 тыс. рублей) отремонтировало 1322 метра водопроводных сетей села Новое Усманово. МУП «Комхоз» выполнил работы на сумму 940 тыс. рублей. ООО «Родник» произвел текущий ремонт водопроводных сетей, капитальные ремонты очистных (на общую сумму 920 тыс. рублей).</w:t>
      </w:r>
    </w:p>
    <w:p w:rsidR="00FA0047" w:rsidRPr="001F013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8"/>
          <w:szCs w:val="28"/>
          <w:lang w:eastAsia="hi-IN" w:bidi="hi-IN"/>
        </w:rPr>
      </w:pPr>
      <w:r w:rsidRPr="001F0139">
        <w:rPr>
          <w:rFonts w:ascii="Times New Roman" w:eastAsia="Times New Roman" w:hAnsi="Times New Roman" w:cs="Times New Roman"/>
          <w:color w:val="00000A"/>
          <w:kern w:val="2"/>
          <w:sz w:val="28"/>
          <w:szCs w:val="28"/>
          <w:lang w:eastAsia="hi-IN" w:bidi="hi-IN"/>
        </w:rPr>
        <w:t xml:space="preserve">В 2016 году работниками МУП ЖКХ «Исток» (с привлечением инвестиционных средств ООО «БайТекс») отремонтированы 196 м водопроводных сетей. ООО «Родник» произвел замену водопроводных сетей общей протяжённостью 1074 м. (в т.ч. 780 м в селе Камышла; 210 м в селе </w:t>
      </w:r>
      <w:r w:rsidRPr="001F0139">
        <w:rPr>
          <w:rFonts w:ascii="Times New Roman" w:eastAsia="Times New Roman" w:hAnsi="Times New Roman" w:cs="Times New Roman"/>
          <w:color w:val="00000A"/>
          <w:kern w:val="2"/>
          <w:sz w:val="28"/>
          <w:szCs w:val="28"/>
          <w:lang w:eastAsia="hi-IN" w:bidi="hi-IN"/>
        </w:rPr>
        <w:lastRenderedPageBreak/>
        <w:t>Старая Балыкла; 84 м в селе Старое Усманово). Данные мероприятия позволили снизить потери воды в сетях. Силами МУП «КомХоз» была произведена замена подземной теплотрассы, питающей школу села Старое Ермаково.</w:t>
      </w:r>
    </w:p>
    <w:p w:rsidR="00FA0047" w:rsidRPr="001F013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8"/>
          <w:szCs w:val="28"/>
          <w:lang w:eastAsia="hi-IN" w:bidi="hi-IN"/>
        </w:rPr>
      </w:pPr>
      <w:r w:rsidRPr="001F0139">
        <w:rPr>
          <w:rFonts w:ascii="Times New Roman" w:eastAsia="Times New Roman" w:hAnsi="Times New Roman" w:cs="Times New Roman"/>
          <w:color w:val="00000A"/>
          <w:kern w:val="2"/>
          <w:sz w:val="28"/>
          <w:szCs w:val="28"/>
          <w:lang w:eastAsia="hi-IN" w:bidi="hi-IN"/>
        </w:rPr>
        <w:t>В 2017 г. с целью предотвращения чрезвычайной ситуации, по ходатайству администрации района, из резервного фонда Правительства Самарской области были выделены субсидии и проведены работы по реконструкции водопроводной сети в селе Старое Ермаково. Сегодня проблема водоснабжения в этом селе решена.</w:t>
      </w:r>
    </w:p>
    <w:p w:rsidR="00FA0047" w:rsidRPr="001F013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8"/>
          <w:szCs w:val="28"/>
          <w:lang w:eastAsia="hi-IN" w:bidi="hi-IN"/>
        </w:rPr>
      </w:pPr>
      <w:r w:rsidRPr="001F0139">
        <w:rPr>
          <w:rFonts w:ascii="Times New Roman" w:eastAsia="Times New Roman" w:hAnsi="Times New Roman" w:cs="Times New Roman"/>
          <w:color w:val="00000A"/>
          <w:kern w:val="2"/>
          <w:sz w:val="28"/>
          <w:szCs w:val="28"/>
          <w:lang w:eastAsia="hi-IN" w:bidi="hi-IN"/>
        </w:rPr>
        <w:t>В перспективе для улучшения качества жизни населения с использованием федеральных и региональных средств планируется решить вопрос по строительству водозабора и водопроводных сетей в селе Камышла. На сегодняшний день изготовлена проектно-сметная документация, которая прошла экспертизу. Она предусматривает строительство водозабора №2 и водопроводных сетей на общую сумму 97 143 580 рублей. Проект включен в план мероприятий по Программе «Устойчивое развитие сельских территорий на 2014 – 2017 и на период до 2020 года».</w:t>
      </w:r>
    </w:p>
    <w:p w:rsidR="00FA0047" w:rsidRPr="001F013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8"/>
          <w:szCs w:val="28"/>
          <w:lang w:eastAsia="hi-IN" w:bidi="hi-IN"/>
        </w:rPr>
      </w:pPr>
      <w:r w:rsidRPr="001F0139">
        <w:rPr>
          <w:rFonts w:ascii="Times New Roman" w:eastAsia="Times New Roman" w:hAnsi="Times New Roman" w:cs="Times New Roman"/>
          <w:color w:val="00000A"/>
          <w:kern w:val="2"/>
          <w:sz w:val="28"/>
          <w:szCs w:val="28"/>
          <w:lang w:eastAsia="hi-IN" w:bidi="hi-IN"/>
        </w:rPr>
        <w:t>Однако, несмотря на принимаемые меры, приходится признать тот факт, что отрасль ЖКХ, по-прежнему требует больших финансовых вливаний. Для ее поддержки в текущем году были направлены 5 млн. 554 тыс. рублей. Эти средства были необходимы для реконструкции объектов водоснабжения в селе Ермаково.</w:t>
      </w:r>
    </w:p>
    <w:p w:rsidR="00FA0047" w:rsidRPr="001F013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8"/>
          <w:szCs w:val="28"/>
          <w:lang w:eastAsia="hi-IN" w:bidi="hi-IN"/>
        </w:rPr>
      </w:pPr>
    </w:p>
    <w:p w:rsidR="00FA0047" w:rsidRPr="001F0139" w:rsidRDefault="00FA0047" w:rsidP="001F0139">
      <w:pPr>
        <w:spacing w:after="0" w:line="360" w:lineRule="auto"/>
        <w:contextualSpacing/>
        <w:jc w:val="both"/>
        <w:outlineLvl w:val="2"/>
        <w:rPr>
          <w:rFonts w:ascii="Times New Roman" w:hAnsi="Times New Roman" w:cs="Times New Roman"/>
          <w:b/>
          <w:color w:val="365F91"/>
          <w:sz w:val="28"/>
          <w:szCs w:val="28"/>
        </w:rPr>
      </w:pPr>
      <w:bookmarkStart w:id="27" w:name="_Toc520894849"/>
      <w:r w:rsidRPr="001F0139">
        <w:rPr>
          <w:rFonts w:ascii="Times New Roman" w:hAnsi="Times New Roman" w:cs="Times New Roman"/>
          <w:b/>
          <w:color w:val="365F91"/>
          <w:sz w:val="28"/>
          <w:szCs w:val="28"/>
        </w:rPr>
        <w:t>Дорожно-транспортный комплекс</w:t>
      </w:r>
      <w:bookmarkEnd w:id="27"/>
      <w:r w:rsidRPr="001F0139">
        <w:rPr>
          <w:rFonts w:ascii="Times New Roman" w:hAnsi="Times New Roman" w:cs="Times New Roman"/>
          <w:b/>
          <w:color w:val="365F91"/>
          <w:sz w:val="28"/>
          <w:szCs w:val="28"/>
        </w:rPr>
        <w:t xml:space="preserve"> </w:t>
      </w:r>
    </w:p>
    <w:p w:rsidR="00FA0047" w:rsidRPr="001F0139" w:rsidRDefault="00FA0047" w:rsidP="001F0139">
      <w:pPr>
        <w:spacing w:after="0" w:line="360" w:lineRule="auto"/>
        <w:ind w:firstLine="709"/>
        <w:contextualSpacing/>
        <w:rPr>
          <w:rFonts w:ascii="Times New Roman" w:hAnsi="Times New Roman" w:cs="Times New Roman"/>
          <w:b/>
          <w:color w:val="0070C0"/>
          <w:sz w:val="28"/>
          <w:szCs w:val="28"/>
        </w:rPr>
      </w:pPr>
    </w:p>
    <w:p w:rsidR="00FA0047" w:rsidRPr="001F0139" w:rsidRDefault="00FA0047" w:rsidP="001F0139">
      <w:pPr>
        <w:spacing w:after="0" w:line="360" w:lineRule="auto"/>
        <w:ind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В Камышлинском районе асфальтированными дорогами с райцентром и магистральными дорогами связаны 20 из 22 населенных пунктов, кроме двух: с. Степановские Выселки и п. Красный Яр. В названных населенных пунктах зарегистрировано 2 человека, но фактически никто не проживает.</w:t>
      </w:r>
    </w:p>
    <w:p w:rsidR="00FA0047" w:rsidRPr="001F0139" w:rsidRDefault="00FA0047" w:rsidP="001F0139">
      <w:pPr>
        <w:spacing w:after="0" w:line="360" w:lineRule="auto"/>
        <w:ind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lastRenderedPageBreak/>
        <w:t>Все населенные пункты района соединены с районным центром дорогами с твердым покрытием, что позволило организовать пассажирское транспортное обслуживание внутри района. Сегодня автобусы курсируют по всем сельским поселениям. Число пассажиров, перевезенных автобусами за 2016 г. составило 16250 чел. По состоянию на 2017 г., удовлетворенность населения качеством автомобильных дорог составила 65,2%. Наблюдается положительная динамика и по обеспечению населения услугами транспорта — свыше 80%.</w:t>
      </w:r>
    </w:p>
    <w:p w:rsidR="00FA0047" w:rsidRPr="001F0139" w:rsidRDefault="00FA0047" w:rsidP="001F0139">
      <w:pPr>
        <w:tabs>
          <w:tab w:val="left" w:pos="709"/>
        </w:tabs>
        <w:suppressAutoHyphens/>
        <w:spacing w:after="0" w:line="360" w:lineRule="auto"/>
        <w:ind w:firstLine="709"/>
        <w:contextualSpacing/>
        <w:jc w:val="both"/>
        <w:rPr>
          <w:rFonts w:ascii="Times New Roman" w:eastAsia="Lucida Sans Unicode" w:hAnsi="Times New Roman" w:cs="Times New Roman"/>
          <w:color w:val="00000A"/>
          <w:kern w:val="2"/>
          <w:sz w:val="28"/>
          <w:szCs w:val="28"/>
          <w:lang w:eastAsia="hi-IN" w:bidi="hi-IN"/>
        </w:rPr>
      </w:pPr>
      <w:r w:rsidRPr="001F0139">
        <w:rPr>
          <w:rFonts w:ascii="Times New Roman" w:eastAsia="Lucida Sans Unicode" w:hAnsi="Times New Roman" w:cs="Times New Roman"/>
          <w:color w:val="00000A"/>
          <w:kern w:val="2"/>
          <w:sz w:val="28"/>
          <w:szCs w:val="28"/>
          <w:lang w:eastAsia="hi-IN" w:bidi="hi-IN"/>
        </w:rPr>
        <w:t>По состоянию на 01.01.2017 протяженность автомобильных дорог общего пользования местного значения составила 351,8 км, из них протяженность дорог с твердым покрытием составляет 27,0 км.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за 2016 год снизилась на 0,6 п.п. к 2015 году и составила 24,8%. Из 27 км асфальтовых дорог общего пользования местного значения нормативным требованиям не отвечают 6,7 км дорог. В период 201</w:t>
      </w:r>
      <w:r w:rsidR="00E14485">
        <w:rPr>
          <w:rFonts w:ascii="Times New Roman" w:eastAsia="Lucida Sans Unicode" w:hAnsi="Times New Roman" w:cs="Times New Roman"/>
          <w:color w:val="00000A"/>
          <w:kern w:val="2"/>
          <w:sz w:val="28"/>
          <w:szCs w:val="28"/>
          <w:lang w:eastAsia="hi-IN" w:bidi="hi-IN"/>
        </w:rPr>
        <w:t>8</w:t>
      </w:r>
      <w:r w:rsidRPr="001F0139">
        <w:rPr>
          <w:rFonts w:ascii="Times New Roman" w:eastAsia="Lucida Sans Unicode" w:hAnsi="Times New Roman" w:cs="Times New Roman"/>
          <w:color w:val="00000A"/>
          <w:kern w:val="2"/>
          <w:sz w:val="28"/>
          <w:szCs w:val="28"/>
          <w:lang w:eastAsia="hi-IN" w:bidi="hi-IN"/>
        </w:rPr>
        <w:t xml:space="preserve"> – 20</w:t>
      </w:r>
      <w:r w:rsidR="005659E4">
        <w:rPr>
          <w:rFonts w:ascii="Times New Roman" w:eastAsia="Lucida Sans Unicode" w:hAnsi="Times New Roman" w:cs="Times New Roman"/>
          <w:color w:val="00000A"/>
          <w:kern w:val="2"/>
          <w:sz w:val="28"/>
          <w:szCs w:val="28"/>
          <w:lang w:eastAsia="hi-IN" w:bidi="hi-IN"/>
        </w:rPr>
        <w:t>20</w:t>
      </w:r>
      <w:r w:rsidRPr="001F0139">
        <w:rPr>
          <w:rFonts w:ascii="Times New Roman" w:eastAsia="Lucida Sans Unicode" w:hAnsi="Times New Roman" w:cs="Times New Roman"/>
          <w:color w:val="00000A"/>
          <w:kern w:val="2"/>
          <w:sz w:val="28"/>
          <w:szCs w:val="28"/>
          <w:lang w:eastAsia="hi-IN" w:bidi="hi-IN"/>
        </w:rPr>
        <w:t xml:space="preserve"> гг. доля автодорог общего пользования местного значения, не отвечающих нормативным требованиям должна снизиться до уровня </w:t>
      </w:r>
      <w:r w:rsidR="005659E4">
        <w:rPr>
          <w:rFonts w:ascii="Times New Roman" w:eastAsia="Lucida Sans Unicode" w:hAnsi="Times New Roman" w:cs="Times New Roman"/>
          <w:color w:val="00000A"/>
          <w:kern w:val="2"/>
          <w:sz w:val="28"/>
          <w:szCs w:val="28"/>
          <w:lang w:eastAsia="hi-IN" w:bidi="hi-IN"/>
        </w:rPr>
        <w:t>22</w:t>
      </w:r>
      <w:r w:rsidRPr="001F0139">
        <w:rPr>
          <w:rFonts w:ascii="Times New Roman" w:eastAsia="Lucida Sans Unicode" w:hAnsi="Times New Roman" w:cs="Times New Roman"/>
          <w:color w:val="00000A"/>
          <w:kern w:val="2"/>
          <w:sz w:val="28"/>
          <w:szCs w:val="28"/>
          <w:lang w:eastAsia="hi-IN" w:bidi="hi-IN"/>
        </w:rPr>
        <w:t xml:space="preserve">%. </w:t>
      </w:r>
    </w:p>
    <w:p w:rsidR="00FA0047" w:rsidRPr="001F0139" w:rsidRDefault="00FA0047" w:rsidP="001F0139">
      <w:pPr>
        <w:spacing w:after="0" w:line="360" w:lineRule="auto"/>
        <w:ind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В 2015 г. производен капитальный ремонт автодороги местного значения с устройством твердого покрытия в сельских поселениях Байтуган протяженностью 0,9 км, Балыкла – 1,27, Ермаково – 0,43, Камышла – 5,7 кв.м. В райцентре выполнены работы по устройству тротуара протяженностью 2,4 км. Помимо этого приведены в порядок дороги по улицам райцентра, сел Старое и Новое Ермаково, Балыкла, Новое Усманово.</w:t>
      </w:r>
    </w:p>
    <w:p w:rsidR="00FA0047" w:rsidRPr="001F0139" w:rsidRDefault="00FA0047" w:rsidP="001F0139">
      <w:pPr>
        <w:spacing w:after="0" w:line="360" w:lineRule="auto"/>
        <w:ind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Сдан в эксплуатацию один из крупных объектов, возводимых на территории района за последние годы – южный обводной мостовой переход через реку Сок. Реализация масштабного проекта позволила решить проблему безопасности движения и весеннего паводка.</w:t>
      </w:r>
    </w:p>
    <w:p w:rsidR="00FA0047" w:rsidRPr="001F0139" w:rsidRDefault="00FA0047" w:rsidP="001F0139">
      <w:pPr>
        <w:spacing w:after="0" w:line="360" w:lineRule="auto"/>
        <w:ind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lastRenderedPageBreak/>
        <w:t>Важно отметить, что модернизация и развитие сельских дорог остается главной задачей для решения в ближайшие годы. Преимущество Камышлинского района – это готовность всех документов, необходимых для градостроительного регулирования и территориального планирования. В свою очередь, в отношении отремонтированных участков дорог необходимо осуществлять работы по содержанию дорожной сети, что предотвратит преждевременное разрушение дорожного полотна.</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Факторами, способствующими повышению качества дорог местного значения, должны стать:</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ежегодное обследование автомобильных дорог местного значения, в том числе определение приоритетных участков дорог, подлежащих ремонту;</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участие в профильных государственных программах;</w:t>
      </w: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эффективное использование средств муниципального дорожного фонда;</w:t>
      </w:r>
    </w:p>
    <w:p w:rsidR="00FA0047" w:rsidRPr="001F0139" w:rsidRDefault="00FA0047" w:rsidP="001F0139">
      <w:pPr>
        <w:spacing w:after="0" w:line="360" w:lineRule="auto"/>
        <w:ind w:firstLine="709"/>
        <w:jc w:val="both"/>
        <w:rPr>
          <w:rFonts w:ascii="Times New Roman" w:hAnsi="Times New Roman" w:cs="Times New Roman"/>
          <w:b/>
          <w:color w:val="0070C0"/>
          <w:sz w:val="28"/>
          <w:szCs w:val="28"/>
        </w:rPr>
      </w:pPr>
      <w:r w:rsidRPr="001F0139">
        <w:rPr>
          <w:rFonts w:ascii="Times New Roman" w:hAnsi="Times New Roman" w:cs="Times New Roman"/>
          <w:sz w:val="28"/>
          <w:szCs w:val="28"/>
        </w:rPr>
        <w:t>эффективные контрактные взаимоотношения с подрядчиками, в том числе активное использование гарантийных механизмов.</w:t>
      </w:r>
      <w:r w:rsidRPr="001F0139">
        <w:rPr>
          <w:rFonts w:ascii="Times New Roman" w:hAnsi="Times New Roman" w:cs="Times New Roman"/>
          <w:sz w:val="28"/>
          <w:szCs w:val="28"/>
        </w:rPr>
        <w:br/>
      </w:r>
    </w:p>
    <w:p w:rsidR="00FA0047" w:rsidRPr="001F0139" w:rsidRDefault="00FA0047" w:rsidP="001F0139">
      <w:pPr>
        <w:spacing w:after="0" w:line="360" w:lineRule="auto"/>
        <w:contextualSpacing/>
        <w:jc w:val="both"/>
        <w:outlineLvl w:val="2"/>
        <w:rPr>
          <w:rFonts w:ascii="Times New Roman" w:hAnsi="Times New Roman" w:cs="Times New Roman"/>
          <w:b/>
          <w:color w:val="365F91"/>
          <w:sz w:val="28"/>
          <w:szCs w:val="28"/>
        </w:rPr>
      </w:pPr>
      <w:bookmarkStart w:id="28" w:name="_Toc520894850"/>
      <w:r w:rsidRPr="001F0139">
        <w:rPr>
          <w:rFonts w:ascii="Times New Roman" w:hAnsi="Times New Roman" w:cs="Times New Roman"/>
          <w:b/>
          <w:color w:val="365F91"/>
          <w:sz w:val="28"/>
          <w:szCs w:val="28"/>
        </w:rPr>
        <w:t>Информационно-коммуникационная инфраструктура</w:t>
      </w:r>
      <w:bookmarkEnd w:id="28"/>
      <w:r w:rsidRPr="001F0139">
        <w:rPr>
          <w:rFonts w:ascii="Times New Roman" w:hAnsi="Times New Roman" w:cs="Times New Roman"/>
          <w:b/>
          <w:color w:val="365F91"/>
          <w:sz w:val="28"/>
          <w:szCs w:val="28"/>
        </w:rPr>
        <w:t xml:space="preserve"> </w:t>
      </w:r>
    </w:p>
    <w:p w:rsidR="00FA0047" w:rsidRPr="001F0139" w:rsidRDefault="00FA0047" w:rsidP="001F0139">
      <w:pPr>
        <w:spacing w:after="0" w:line="360" w:lineRule="auto"/>
        <w:ind w:firstLine="709"/>
        <w:contextualSpacing/>
        <w:jc w:val="both"/>
        <w:rPr>
          <w:rFonts w:ascii="Times New Roman" w:hAnsi="Times New Roman" w:cs="Times New Roman"/>
          <w:b/>
          <w:color w:val="0070C0"/>
          <w:sz w:val="28"/>
          <w:szCs w:val="28"/>
        </w:rPr>
      </w:pPr>
    </w:p>
    <w:p w:rsidR="00FA0047" w:rsidRPr="001F0139" w:rsidRDefault="00FA0047"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Услуги электросвязи в районе оказываются ОАО «Ростелеком», так же развивающимися операторами сотовой связи, такими как «Мегафон» и «МТС». Общая монтированная емкость телефонной сети района составляет 1432 номера, все номера принадлежат цифровым АТС. Число телефонных станций местной телефонной сети составляет 10 единиц, из них все цифровые. Телефонными аппаратами пользуются 5,7% населения. Число таксофонов составляет 23 единицы. Имеется один пункт коллективного доступа к сети Интернет. Отмечается низкое качество мобильной и Интернет- связи. Количество почтовых ящиков на 1000 чел. составляет 3,2. Существует потребность в банкоматах. Охват населения телевизионным вещанием составляет 100%.</w:t>
      </w:r>
    </w:p>
    <w:p w:rsidR="000320B3" w:rsidRPr="001F0139" w:rsidRDefault="000320B3"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E74438" w:rsidRPr="001F0139" w:rsidRDefault="00E7443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7.2.Стратегические цели, задачи и проектно-программный комплекс</w:t>
      </w:r>
      <w:r w:rsidR="002760F1">
        <w:rPr>
          <w:rFonts w:ascii="Times New Roman" w:hAnsi="Times New Roman" w:cs="Times New Roman"/>
          <w:b/>
          <w:color w:val="365F91" w:themeColor="accent1" w:themeShade="BF"/>
          <w:sz w:val="28"/>
          <w:szCs w:val="28"/>
        </w:rPr>
        <w:t xml:space="preserve"> </w:t>
      </w:r>
      <w:r w:rsidRPr="001F0139">
        <w:rPr>
          <w:rFonts w:ascii="Times New Roman" w:hAnsi="Times New Roman" w:cs="Times New Roman"/>
          <w:b/>
          <w:color w:val="365F91" w:themeColor="accent1" w:themeShade="BF"/>
          <w:sz w:val="28"/>
          <w:szCs w:val="28"/>
        </w:rPr>
        <w:t>направления «Формирование, совершенствование и накопление человеческого капитала».</w:t>
      </w:r>
    </w:p>
    <w:p w:rsidR="00E74438" w:rsidRPr="001F0139" w:rsidRDefault="00E7443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7.2.1.</w:t>
      </w:r>
      <w:r w:rsidR="00337AC4" w:rsidRPr="001F0139">
        <w:rPr>
          <w:rFonts w:ascii="Times New Roman" w:hAnsi="Times New Roman" w:cs="Times New Roman"/>
          <w:b/>
          <w:color w:val="365F91" w:themeColor="accent1" w:themeShade="BF"/>
          <w:sz w:val="28"/>
          <w:szCs w:val="28"/>
        </w:rPr>
        <w:t xml:space="preserve"> Повышение комфортности жилой среды, модернизация объектов социальной инфраструктуры</w:t>
      </w:r>
    </w:p>
    <w:p w:rsidR="00607703" w:rsidRPr="001F0139" w:rsidRDefault="00607703"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607703" w:rsidRPr="001F0139" w:rsidRDefault="00607703" w:rsidP="001F0139">
      <w:pPr>
        <w:pStyle w:val="a3"/>
        <w:spacing w:after="0" w:line="360" w:lineRule="auto"/>
        <w:ind w:left="0" w:firstLine="709"/>
        <w:jc w:val="both"/>
        <w:rPr>
          <w:rFonts w:ascii="Times New Roman" w:hAnsi="Times New Roman" w:cs="Times New Roman"/>
          <w:b/>
          <w:sz w:val="28"/>
          <w:szCs w:val="28"/>
        </w:rPr>
      </w:pPr>
      <w:r w:rsidRPr="001F0139">
        <w:rPr>
          <w:rFonts w:ascii="Times New Roman" w:hAnsi="Times New Roman" w:cs="Times New Roman"/>
          <w:b/>
          <w:sz w:val="28"/>
          <w:szCs w:val="28"/>
        </w:rPr>
        <w:t>Мероприятия</w:t>
      </w:r>
    </w:p>
    <w:p w:rsidR="002760F1" w:rsidRDefault="00607703" w:rsidP="001F0139">
      <w:pPr>
        <w:pStyle w:val="a3"/>
        <w:spacing w:after="0" w:line="360" w:lineRule="auto"/>
        <w:ind w:left="0" w:firstLine="709"/>
        <w:jc w:val="both"/>
        <w:rPr>
          <w:rFonts w:ascii="Times New Roman" w:hAnsi="Times New Roman" w:cs="Times New Roman"/>
          <w:bCs/>
          <w:sz w:val="28"/>
          <w:szCs w:val="28"/>
        </w:rPr>
      </w:pPr>
      <w:r w:rsidRPr="001F0139">
        <w:rPr>
          <w:rFonts w:ascii="Times New Roman" w:hAnsi="Times New Roman" w:cs="Times New Roman"/>
          <w:bCs/>
          <w:sz w:val="28"/>
          <w:szCs w:val="28"/>
        </w:rPr>
        <w:t>Строительство</w:t>
      </w:r>
      <w:r w:rsidR="002760F1">
        <w:rPr>
          <w:rFonts w:ascii="Times New Roman" w:hAnsi="Times New Roman" w:cs="Times New Roman"/>
          <w:bCs/>
          <w:sz w:val="28"/>
          <w:szCs w:val="28"/>
        </w:rPr>
        <w:t>:</w:t>
      </w:r>
    </w:p>
    <w:p w:rsidR="00607703" w:rsidRPr="001F0139" w:rsidRDefault="00A85573" w:rsidP="001F0139">
      <w:pPr>
        <w:pStyle w:val="a3"/>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07703" w:rsidRPr="001F0139">
        <w:rPr>
          <w:rFonts w:ascii="Times New Roman" w:hAnsi="Times New Roman" w:cs="Times New Roman"/>
          <w:bCs/>
          <w:sz w:val="28"/>
          <w:szCs w:val="28"/>
        </w:rPr>
        <w:t>автодороги с.Татарский Байтуган – п.Красный Яр (протяженность 10 км);</w:t>
      </w:r>
      <w:r w:rsidR="002760F1">
        <w:rPr>
          <w:rFonts w:ascii="Times New Roman" w:hAnsi="Times New Roman" w:cs="Times New Roman"/>
          <w:bCs/>
          <w:sz w:val="28"/>
          <w:szCs w:val="28"/>
        </w:rPr>
        <w:t xml:space="preserve"> </w:t>
      </w:r>
    </w:p>
    <w:p w:rsidR="00607703" w:rsidRPr="001F0139" w:rsidRDefault="00A85573" w:rsidP="001F0139">
      <w:pPr>
        <w:pStyle w:val="a3"/>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07703" w:rsidRPr="001F0139">
        <w:rPr>
          <w:rFonts w:ascii="Times New Roman" w:hAnsi="Times New Roman" w:cs="Times New Roman"/>
          <w:bCs/>
          <w:sz w:val="28"/>
          <w:szCs w:val="28"/>
        </w:rPr>
        <w:t>автодороги с. Степановские Выселки - трасса «Степановка – Старая Балыкла» (протяженность 6 км);</w:t>
      </w:r>
    </w:p>
    <w:p w:rsidR="00607703" w:rsidRPr="001F0139" w:rsidRDefault="00A85573" w:rsidP="001F0139">
      <w:pPr>
        <w:pStyle w:val="a3"/>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07703" w:rsidRPr="001F0139">
        <w:rPr>
          <w:rFonts w:ascii="Times New Roman" w:hAnsi="Times New Roman" w:cs="Times New Roman"/>
          <w:bCs/>
          <w:sz w:val="28"/>
          <w:szCs w:val="28"/>
        </w:rPr>
        <w:t>автодорог</w:t>
      </w:r>
      <w:r w:rsidR="00A103E9">
        <w:rPr>
          <w:rFonts w:ascii="Times New Roman" w:hAnsi="Times New Roman" w:cs="Times New Roman"/>
          <w:bCs/>
          <w:sz w:val="28"/>
          <w:szCs w:val="28"/>
        </w:rPr>
        <w:t>и</w:t>
      </w:r>
      <w:r w:rsidR="00607703" w:rsidRPr="001F0139">
        <w:rPr>
          <w:rFonts w:ascii="Times New Roman" w:hAnsi="Times New Roman" w:cs="Times New Roman"/>
          <w:bCs/>
          <w:sz w:val="28"/>
          <w:szCs w:val="28"/>
        </w:rPr>
        <w:t xml:space="preserve"> с. Старое Усманово – с.</w:t>
      </w:r>
      <w:r w:rsidR="00A103E9">
        <w:rPr>
          <w:rFonts w:ascii="Times New Roman" w:hAnsi="Times New Roman" w:cs="Times New Roman"/>
          <w:bCs/>
          <w:sz w:val="28"/>
          <w:szCs w:val="28"/>
        </w:rPr>
        <w:t xml:space="preserve"> Никиткино (протяженность 4 км);</w:t>
      </w:r>
    </w:p>
    <w:p w:rsidR="00A85573" w:rsidRDefault="00A85573" w:rsidP="001F0139">
      <w:pPr>
        <w:pStyle w:val="a3"/>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E2810" w:rsidRPr="001F0139">
        <w:rPr>
          <w:rFonts w:ascii="Times New Roman" w:hAnsi="Times New Roman" w:cs="Times New Roman"/>
          <w:bCs/>
          <w:sz w:val="28"/>
          <w:szCs w:val="28"/>
        </w:rPr>
        <w:t xml:space="preserve">фельдшерско-акушерских пунктов в селе </w:t>
      </w:r>
      <w:r w:rsidR="00717724">
        <w:rPr>
          <w:rFonts w:ascii="Times New Roman" w:hAnsi="Times New Roman" w:cs="Times New Roman"/>
          <w:bCs/>
          <w:sz w:val="28"/>
          <w:szCs w:val="28"/>
        </w:rPr>
        <w:t>Татарский Байтуган</w:t>
      </w:r>
      <w:r w:rsidR="002E2810" w:rsidRPr="001F0139">
        <w:rPr>
          <w:rFonts w:ascii="Times New Roman" w:hAnsi="Times New Roman" w:cs="Times New Roman"/>
          <w:bCs/>
          <w:sz w:val="28"/>
          <w:szCs w:val="28"/>
        </w:rPr>
        <w:t xml:space="preserve"> и поселке </w:t>
      </w:r>
      <w:r w:rsidR="00717724">
        <w:rPr>
          <w:rFonts w:ascii="Times New Roman" w:hAnsi="Times New Roman" w:cs="Times New Roman"/>
          <w:bCs/>
          <w:sz w:val="28"/>
          <w:szCs w:val="28"/>
        </w:rPr>
        <w:t>Чулпан</w:t>
      </w:r>
      <w:r>
        <w:rPr>
          <w:rFonts w:ascii="Times New Roman" w:hAnsi="Times New Roman" w:cs="Times New Roman"/>
          <w:bCs/>
          <w:sz w:val="28"/>
          <w:szCs w:val="28"/>
        </w:rPr>
        <w:t>;</w:t>
      </w:r>
    </w:p>
    <w:p w:rsidR="002E2810" w:rsidRPr="001F0139" w:rsidRDefault="00A85573" w:rsidP="001F0139">
      <w:pPr>
        <w:pStyle w:val="a3"/>
        <w:spacing w:after="0" w:line="360" w:lineRule="auto"/>
        <w:ind w:left="0" w:firstLine="709"/>
        <w:jc w:val="both"/>
        <w:rPr>
          <w:rFonts w:ascii="Times New Roman" w:hAnsi="Times New Roman" w:cs="Times New Roman"/>
          <w:bCs/>
          <w:sz w:val="28"/>
          <w:szCs w:val="28"/>
        </w:rPr>
      </w:pPr>
      <w:r>
        <w:rPr>
          <w:rFonts w:ascii="Times New Roman" w:hAnsi="Times New Roman" w:cs="Times New Roman"/>
          <w:sz w:val="28"/>
          <w:szCs w:val="28"/>
          <w:lang w:eastAsia="ru-RU"/>
        </w:rPr>
        <w:t xml:space="preserve">- </w:t>
      </w:r>
      <w:r w:rsidRPr="00567ED1">
        <w:rPr>
          <w:rFonts w:ascii="Times New Roman" w:hAnsi="Times New Roman" w:cs="Times New Roman"/>
          <w:sz w:val="28"/>
          <w:szCs w:val="28"/>
          <w:lang w:eastAsia="ru-RU"/>
        </w:rPr>
        <w:t xml:space="preserve">водопроводных сетей в </w:t>
      </w:r>
      <w:r>
        <w:rPr>
          <w:rFonts w:ascii="Times New Roman" w:hAnsi="Times New Roman" w:cs="Times New Roman"/>
          <w:sz w:val="28"/>
          <w:szCs w:val="28"/>
          <w:lang w:eastAsia="ru-RU"/>
        </w:rPr>
        <w:t>селах Камышла, Новое Усманово</w:t>
      </w:r>
      <w:r w:rsidR="002E2810" w:rsidRPr="001F0139">
        <w:rPr>
          <w:rFonts w:ascii="Times New Roman" w:hAnsi="Times New Roman" w:cs="Times New Roman"/>
          <w:bCs/>
          <w:sz w:val="28"/>
          <w:szCs w:val="28"/>
        </w:rPr>
        <w:t>.</w:t>
      </w:r>
    </w:p>
    <w:p w:rsidR="007F7597" w:rsidRDefault="00E70610" w:rsidP="001F0139">
      <w:pPr>
        <w:pStyle w:val="a3"/>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Капитальный ремонт</w:t>
      </w:r>
      <w:r w:rsidR="007F7597">
        <w:rPr>
          <w:rFonts w:ascii="Times New Roman" w:hAnsi="Times New Roman" w:cs="Times New Roman"/>
          <w:bCs/>
          <w:sz w:val="28"/>
          <w:szCs w:val="28"/>
        </w:rPr>
        <w:t>:</w:t>
      </w:r>
    </w:p>
    <w:p w:rsidR="007F7597" w:rsidRDefault="007F7597" w:rsidP="001F0139">
      <w:pPr>
        <w:pStyle w:val="a3"/>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bCs/>
          <w:sz w:val="28"/>
          <w:szCs w:val="28"/>
        </w:rPr>
        <w:t>-</w:t>
      </w:r>
      <w:r w:rsidR="00E70610">
        <w:rPr>
          <w:rFonts w:ascii="Times New Roman" w:hAnsi="Times New Roman" w:cs="Times New Roman"/>
          <w:bCs/>
          <w:sz w:val="28"/>
          <w:szCs w:val="28"/>
        </w:rPr>
        <w:t xml:space="preserve"> дошкольных образовательных учреждений в селах</w:t>
      </w:r>
      <w:r w:rsidR="00E70610">
        <w:rPr>
          <w:rFonts w:cs="Tahoma"/>
          <w:sz w:val="27"/>
          <w:szCs w:val="27"/>
          <w:lang w:eastAsia="ru-RU"/>
        </w:rPr>
        <w:t xml:space="preserve"> </w:t>
      </w:r>
      <w:r w:rsidR="00E70610" w:rsidRPr="00E70610">
        <w:rPr>
          <w:rFonts w:ascii="Times New Roman" w:hAnsi="Times New Roman" w:cs="Times New Roman"/>
          <w:sz w:val="28"/>
          <w:szCs w:val="28"/>
          <w:lang w:eastAsia="ru-RU"/>
        </w:rPr>
        <w:t>Старое Усманово и с. Новое Ермаково</w:t>
      </w:r>
      <w:r w:rsidR="00E70610" w:rsidRPr="00A03047">
        <w:rPr>
          <w:rFonts w:ascii="Times New Roman" w:hAnsi="Times New Roman" w:cs="Times New Roman"/>
          <w:sz w:val="28"/>
          <w:szCs w:val="28"/>
          <w:lang w:eastAsia="ru-RU"/>
        </w:rPr>
        <w:t xml:space="preserve">, </w:t>
      </w:r>
    </w:p>
    <w:p w:rsidR="00833A0F" w:rsidRPr="00A85573" w:rsidRDefault="007F7597" w:rsidP="00A85573">
      <w:pPr>
        <w:pStyle w:val="a3"/>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33A0F" w:rsidRPr="001F0139">
        <w:rPr>
          <w:rFonts w:ascii="Times New Roman" w:hAnsi="Times New Roman" w:cs="Times New Roman"/>
          <w:bCs/>
          <w:sz w:val="28"/>
          <w:szCs w:val="28"/>
        </w:rPr>
        <w:t>учреждений</w:t>
      </w:r>
      <w:r w:rsidR="00A03047">
        <w:rPr>
          <w:rFonts w:ascii="Times New Roman" w:hAnsi="Times New Roman" w:cs="Times New Roman"/>
          <w:bCs/>
          <w:sz w:val="28"/>
          <w:szCs w:val="28"/>
        </w:rPr>
        <w:t xml:space="preserve"> общего образования</w:t>
      </w:r>
      <w:r w:rsidR="00833A0F" w:rsidRPr="001F0139">
        <w:rPr>
          <w:rFonts w:ascii="Times New Roman" w:hAnsi="Times New Roman" w:cs="Times New Roman"/>
          <w:bCs/>
          <w:sz w:val="28"/>
          <w:szCs w:val="28"/>
        </w:rPr>
        <w:t xml:space="preserve"> в </w:t>
      </w:r>
      <w:r w:rsidR="00833A0F" w:rsidRPr="00A03047">
        <w:rPr>
          <w:rFonts w:ascii="Times New Roman" w:hAnsi="Times New Roman" w:cs="Times New Roman"/>
          <w:bCs/>
          <w:sz w:val="28"/>
          <w:szCs w:val="28"/>
        </w:rPr>
        <w:t xml:space="preserve">сёлах </w:t>
      </w:r>
      <w:r w:rsidR="00A03047" w:rsidRPr="00A03047">
        <w:rPr>
          <w:rFonts w:ascii="Times New Roman" w:hAnsi="Times New Roman" w:cs="Times New Roman"/>
          <w:sz w:val="28"/>
          <w:szCs w:val="28"/>
          <w:lang w:eastAsia="ru-RU"/>
        </w:rPr>
        <w:t>Старое Ермаково, Новое Усманово, Балыкла</w:t>
      </w:r>
      <w:r w:rsidR="00833A0F" w:rsidRPr="00A85573">
        <w:rPr>
          <w:rFonts w:ascii="Times New Roman" w:hAnsi="Times New Roman" w:cs="Times New Roman"/>
          <w:bCs/>
          <w:sz w:val="28"/>
          <w:szCs w:val="28"/>
        </w:rPr>
        <w:t xml:space="preserve">. </w:t>
      </w:r>
    </w:p>
    <w:p w:rsidR="00A65CD4" w:rsidRPr="001F0139" w:rsidRDefault="00A65CD4" w:rsidP="001F0139">
      <w:pPr>
        <w:pStyle w:val="a3"/>
        <w:spacing w:after="0" w:line="360" w:lineRule="auto"/>
        <w:ind w:left="0" w:hanging="11"/>
        <w:jc w:val="both"/>
        <w:rPr>
          <w:rFonts w:ascii="Times New Roman" w:hAnsi="Times New Roman" w:cs="Times New Roman"/>
          <w:b/>
          <w:sz w:val="28"/>
          <w:szCs w:val="28"/>
        </w:rPr>
      </w:pPr>
      <w:r w:rsidRPr="001F0139">
        <w:rPr>
          <w:rFonts w:ascii="Times New Roman" w:hAnsi="Times New Roman" w:cs="Times New Roman"/>
          <w:b/>
          <w:sz w:val="28"/>
          <w:szCs w:val="28"/>
        </w:rPr>
        <w:t>Проекты и программы</w:t>
      </w:r>
    </w:p>
    <w:p w:rsidR="00A65CD4" w:rsidRPr="001F0139" w:rsidRDefault="00A65CD4" w:rsidP="001F0139">
      <w:pPr>
        <w:pStyle w:val="a3"/>
        <w:spacing w:after="0" w:line="360" w:lineRule="auto"/>
        <w:ind w:left="0" w:firstLine="709"/>
        <w:jc w:val="both"/>
        <w:rPr>
          <w:rFonts w:ascii="Times New Roman" w:hAnsi="Times New Roman" w:cs="Times New Roman"/>
          <w:sz w:val="28"/>
          <w:szCs w:val="28"/>
        </w:rPr>
      </w:pPr>
      <w:r w:rsidRPr="001F0139">
        <w:rPr>
          <w:rFonts w:ascii="Times New Roman" w:hAnsi="Times New Roman" w:cs="Times New Roman"/>
          <w:bCs/>
          <w:sz w:val="28"/>
          <w:szCs w:val="28"/>
          <w:u w:val="single"/>
        </w:rPr>
        <w:t xml:space="preserve">Муниципальная программа </w:t>
      </w:r>
      <w:r w:rsidRPr="001F0139">
        <w:rPr>
          <w:rFonts w:ascii="Times New Roman" w:hAnsi="Times New Roman" w:cs="Times New Roman"/>
          <w:sz w:val="28"/>
          <w:szCs w:val="28"/>
        </w:rPr>
        <w:t xml:space="preserve">«Формирование комфортной </w:t>
      </w:r>
      <w:r w:rsidR="002E13DB">
        <w:rPr>
          <w:rFonts w:ascii="Times New Roman" w:hAnsi="Times New Roman" w:cs="Times New Roman"/>
          <w:sz w:val="28"/>
          <w:szCs w:val="28"/>
        </w:rPr>
        <w:t>город</w:t>
      </w:r>
      <w:r w:rsidRPr="001F0139">
        <w:rPr>
          <w:rFonts w:ascii="Times New Roman" w:hAnsi="Times New Roman" w:cs="Times New Roman"/>
          <w:sz w:val="28"/>
          <w:szCs w:val="28"/>
        </w:rPr>
        <w:t>ской среды муниципального района Камышлинский Самарской области» на 2018-2022 годы»</w:t>
      </w:r>
    </w:p>
    <w:p w:rsidR="00A65CD4" w:rsidRPr="001F0139" w:rsidRDefault="00A65CD4" w:rsidP="001F0139">
      <w:pPr>
        <w:pStyle w:val="a3"/>
        <w:spacing w:after="0" w:line="360" w:lineRule="auto"/>
        <w:ind w:left="0" w:firstLine="709"/>
        <w:jc w:val="both"/>
        <w:rPr>
          <w:rFonts w:ascii="Times New Roman" w:hAnsi="Times New Roman" w:cs="Times New Roman"/>
          <w:sz w:val="28"/>
          <w:szCs w:val="28"/>
        </w:rPr>
      </w:pPr>
      <w:r w:rsidRPr="001F0139">
        <w:rPr>
          <w:rFonts w:ascii="Times New Roman" w:hAnsi="Times New Roman" w:cs="Times New Roman"/>
          <w:bCs/>
          <w:sz w:val="28"/>
          <w:szCs w:val="28"/>
          <w:u w:val="single"/>
        </w:rPr>
        <w:t>Разработка и реализация муниципальной программы</w:t>
      </w:r>
      <w:r w:rsidRPr="001F0139">
        <w:rPr>
          <w:rFonts w:ascii="Times New Roman" w:hAnsi="Times New Roman" w:cs="Times New Roman"/>
          <w:sz w:val="28"/>
          <w:szCs w:val="28"/>
          <w:u w:val="single"/>
        </w:rPr>
        <w:t xml:space="preserve"> </w:t>
      </w:r>
      <w:r w:rsidRPr="001F0139">
        <w:rPr>
          <w:rFonts w:ascii="Times New Roman" w:hAnsi="Times New Roman" w:cs="Times New Roman"/>
          <w:sz w:val="28"/>
          <w:szCs w:val="28"/>
        </w:rPr>
        <w:t>«Доступное жилье до 2030 г.»</w:t>
      </w:r>
    </w:p>
    <w:p w:rsidR="00A65CD4" w:rsidRPr="001F0139" w:rsidRDefault="00A65CD4" w:rsidP="001F0139">
      <w:pPr>
        <w:pStyle w:val="a3"/>
        <w:spacing w:after="0" w:line="360" w:lineRule="auto"/>
        <w:ind w:left="0" w:firstLine="709"/>
        <w:jc w:val="both"/>
        <w:rPr>
          <w:rFonts w:ascii="Times New Roman" w:hAnsi="Times New Roman" w:cs="Times New Roman"/>
          <w:sz w:val="28"/>
          <w:szCs w:val="28"/>
        </w:rPr>
      </w:pPr>
      <w:r w:rsidRPr="001F0139">
        <w:rPr>
          <w:rFonts w:ascii="Times New Roman" w:hAnsi="Times New Roman" w:cs="Times New Roman"/>
          <w:bCs/>
          <w:sz w:val="28"/>
          <w:szCs w:val="28"/>
          <w:u w:val="single"/>
        </w:rPr>
        <w:t>Проект</w:t>
      </w:r>
      <w:r w:rsidRPr="001F0139">
        <w:rPr>
          <w:rFonts w:ascii="Times New Roman" w:hAnsi="Times New Roman" w:cs="Times New Roman"/>
          <w:sz w:val="28"/>
          <w:szCs w:val="28"/>
        </w:rPr>
        <w:t xml:space="preserve"> «Поддержка местных инициатив граждан по созданию комфортной среды» на основе муниципально-частного партнерства </w:t>
      </w:r>
    </w:p>
    <w:p w:rsidR="004671C0" w:rsidRDefault="004671C0" w:rsidP="001F0139">
      <w:pPr>
        <w:pStyle w:val="a3"/>
        <w:spacing w:after="0" w:line="360" w:lineRule="auto"/>
        <w:ind w:left="0" w:firstLine="709"/>
        <w:jc w:val="both"/>
      </w:pPr>
      <w:r w:rsidRPr="001F0139">
        <w:rPr>
          <w:rFonts w:ascii="Times New Roman" w:hAnsi="Times New Roman" w:cs="Times New Roman"/>
          <w:bCs/>
          <w:sz w:val="28"/>
          <w:szCs w:val="28"/>
          <w:u w:val="single"/>
        </w:rPr>
        <w:lastRenderedPageBreak/>
        <w:t xml:space="preserve">Муниципальная программа </w:t>
      </w:r>
      <w:r w:rsidRPr="004671C0">
        <w:rPr>
          <w:rFonts w:ascii="Times New Roman" w:hAnsi="Times New Roman" w:cs="Times New Roman"/>
          <w:sz w:val="28"/>
          <w:szCs w:val="28"/>
        </w:rPr>
        <w:t>«Реконструкция,</w:t>
      </w:r>
      <w:r>
        <w:rPr>
          <w:rFonts w:ascii="Times New Roman" w:hAnsi="Times New Roman" w:cs="Times New Roman"/>
          <w:sz w:val="28"/>
          <w:szCs w:val="28"/>
        </w:rPr>
        <w:t xml:space="preserve"> </w:t>
      </w:r>
      <w:r w:rsidRPr="004671C0">
        <w:rPr>
          <w:rFonts w:ascii="Times New Roman" w:hAnsi="Times New Roman" w:cs="Times New Roman"/>
          <w:sz w:val="28"/>
          <w:szCs w:val="28"/>
        </w:rPr>
        <w:t>строительство, ремонт и укрепление материально-технической базы образовательных учрежден</w:t>
      </w:r>
      <w:r>
        <w:rPr>
          <w:rFonts w:ascii="Times New Roman" w:hAnsi="Times New Roman" w:cs="Times New Roman"/>
          <w:sz w:val="28"/>
          <w:szCs w:val="28"/>
        </w:rPr>
        <w:t xml:space="preserve">ий </w:t>
      </w:r>
      <w:r w:rsidRPr="001F0139">
        <w:rPr>
          <w:rFonts w:ascii="Times New Roman" w:hAnsi="Times New Roman" w:cs="Times New Roman"/>
          <w:sz w:val="28"/>
          <w:szCs w:val="28"/>
        </w:rPr>
        <w:t>муниципального района Камышлинский</w:t>
      </w:r>
      <w:r>
        <w:rPr>
          <w:rFonts w:ascii="Times New Roman" w:hAnsi="Times New Roman" w:cs="Times New Roman"/>
          <w:sz w:val="28"/>
          <w:szCs w:val="28"/>
        </w:rPr>
        <w:t xml:space="preserve"> Самарской области»</w:t>
      </w:r>
    </w:p>
    <w:p w:rsidR="00337AC4" w:rsidRPr="001F0139" w:rsidRDefault="00E7443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7.2.2.</w:t>
      </w:r>
      <w:r w:rsidR="00337AC4" w:rsidRPr="001F0139">
        <w:rPr>
          <w:rFonts w:ascii="Times New Roman" w:hAnsi="Times New Roman" w:cs="Times New Roman"/>
          <w:b/>
          <w:color w:val="365F91" w:themeColor="accent1" w:themeShade="BF"/>
          <w:sz w:val="28"/>
          <w:szCs w:val="28"/>
        </w:rPr>
        <w:t xml:space="preserve"> Поддержка и развитие экосреды района, повышение экологической грамотности населения</w:t>
      </w:r>
    </w:p>
    <w:p w:rsidR="000320B3" w:rsidRPr="001F0139" w:rsidRDefault="00805F04" w:rsidP="001F0139">
      <w:pPr>
        <w:pStyle w:val="a3"/>
        <w:spacing w:after="0" w:line="360" w:lineRule="auto"/>
        <w:ind w:left="0" w:firstLine="709"/>
        <w:jc w:val="both"/>
        <w:rPr>
          <w:rFonts w:ascii="Times New Roman" w:hAnsi="Times New Roman" w:cs="Times New Roman"/>
          <w:sz w:val="28"/>
          <w:szCs w:val="28"/>
        </w:rPr>
      </w:pPr>
      <w:r w:rsidRPr="001F0139">
        <w:rPr>
          <w:rFonts w:ascii="Times New Roman" w:hAnsi="Times New Roman" w:cs="Times New Roman"/>
          <w:sz w:val="28"/>
          <w:szCs w:val="28"/>
        </w:rPr>
        <w:t>Мероприятия</w:t>
      </w:r>
    </w:p>
    <w:p w:rsidR="00805F04" w:rsidRPr="001F0139" w:rsidRDefault="00805F04" w:rsidP="001F0139">
      <w:pPr>
        <w:pStyle w:val="a8"/>
        <w:ind w:firstLine="720"/>
      </w:pPr>
      <w:r w:rsidRPr="001F0139">
        <w:t>повышение лесистости территорий Самарской области (увеличение объемов лесных насаждений за счет лесопосадочных работ), создание различных типов защитных лесных полос, колков, куртин, урочищ, а также плантаций из быстрорастущих пород, которые будут представлять собой новые самовозобновляющиеся экологические системы;</w:t>
      </w:r>
    </w:p>
    <w:p w:rsidR="00805F04" w:rsidRPr="001F0139" w:rsidRDefault="00805F04" w:rsidP="001F0139">
      <w:pPr>
        <w:pStyle w:val="a8"/>
        <w:ind w:firstLine="720"/>
      </w:pPr>
      <w:r w:rsidRPr="001F0139">
        <w:t>разработка проектов по реабилитации прибрежных территорий и долин малых рек (озеленение, залесение, рекультивация почвы, благоустройство) с учетом функционального назначения территорий;</w:t>
      </w:r>
    </w:p>
    <w:p w:rsidR="00805F04" w:rsidRPr="001F0139" w:rsidRDefault="00805F04" w:rsidP="001F0139">
      <w:pPr>
        <w:pStyle w:val="a8"/>
        <w:ind w:firstLine="720"/>
      </w:pPr>
      <w:r w:rsidRPr="001F0139">
        <w:t>разработка бассейновых схем охраны, реабилитации и рационального использования малых рек и прибрежных территорий;</w:t>
      </w:r>
    </w:p>
    <w:p w:rsidR="00805F04" w:rsidRPr="001F0139" w:rsidRDefault="00805F04" w:rsidP="001F0139">
      <w:pPr>
        <w:pStyle w:val="a8"/>
        <w:ind w:firstLine="720"/>
      </w:pPr>
      <w:r w:rsidRPr="001F0139">
        <w:t>инженерная подготовка и оборудование прибрежных территорий, включая мероприятия по организации рельефа, мелиорации, берегоукрепление, противоэрозионные, противооползневые и оврагоукрепительные работы;</w:t>
      </w:r>
    </w:p>
    <w:p w:rsidR="00805F04" w:rsidRPr="001F0139" w:rsidRDefault="00805F04" w:rsidP="001F0139">
      <w:pPr>
        <w:pStyle w:val="a8"/>
        <w:tabs>
          <w:tab w:val="left" w:pos="1440"/>
        </w:tabs>
      </w:pPr>
      <w:r w:rsidRPr="001F0139">
        <w:t>мероприятия ведомственной целевой программы «Сохранение и восстановление биоразнообразия растительности и животного мира на территории Самарской области, обеспечение развития особо охраняемых природных территорий регионального значения» на 2011-2013 годы»</w:t>
      </w:r>
      <w:r w:rsidRPr="001F0139">
        <w:rPr>
          <w:color w:val="FF0000"/>
        </w:rPr>
        <w:t xml:space="preserve"> </w:t>
      </w:r>
      <w:r w:rsidRPr="001F0139">
        <w:rPr>
          <w:color w:val="000000"/>
        </w:rPr>
        <w:t xml:space="preserve">утвержденной приказом министерства природопользования, лесного </w:t>
      </w:r>
      <w:r w:rsidRPr="001F0139">
        <w:t>хозяйства и охраны окружающей среды Самарской области от 10.11.2009 № 122;</w:t>
      </w:r>
    </w:p>
    <w:p w:rsidR="00805F04" w:rsidRPr="001F0139" w:rsidRDefault="00805F04" w:rsidP="001F0139">
      <w:pPr>
        <w:widowControl w:val="0"/>
        <w:shd w:val="clear" w:color="auto" w:fill="FFFFFF"/>
        <w:spacing w:after="0" w:line="360" w:lineRule="auto"/>
        <w:ind w:firstLine="709"/>
        <w:jc w:val="both"/>
        <w:rPr>
          <w:rFonts w:ascii="Times New Roman" w:eastAsia="Times New Roman" w:hAnsi="Times New Roman" w:cs="Times New Roman"/>
          <w:sz w:val="28"/>
          <w:szCs w:val="28"/>
          <w:lang w:eastAsia="ar-SA"/>
        </w:rPr>
      </w:pPr>
      <w:r w:rsidRPr="001F0139">
        <w:rPr>
          <w:rFonts w:ascii="Times New Roman" w:eastAsia="Times New Roman" w:hAnsi="Times New Roman" w:cs="Times New Roman"/>
          <w:sz w:val="28"/>
          <w:szCs w:val="28"/>
          <w:lang w:eastAsia="ar-SA"/>
        </w:rPr>
        <w:t xml:space="preserve">мероприятия Областной целевой программы «Совершенствование системы обращения с отходами производства и потребления и формирование кластера использования вторичных ресурсов на территории Самарской </w:t>
      </w:r>
      <w:r w:rsidRPr="001F0139">
        <w:rPr>
          <w:rFonts w:ascii="Times New Roman" w:eastAsia="Times New Roman" w:hAnsi="Times New Roman" w:cs="Times New Roman"/>
          <w:sz w:val="28"/>
          <w:szCs w:val="28"/>
          <w:lang w:eastAsia="ar-SA"/>
        </w:rPr>
        <w:lastRenderedPageBreak/>
        <w:t xml:space="preserve">области на 2010-2012 годы и на период до 2020 года», утверждённой постановлением Правительства Самарской области от 06.08.2009 № 372. </w:t>
      </w:r>
    </w:p>
    <w:p w:rsidR="00805F04" w:rsidRPr="001F0139" w:rsidRDefault="00805F04" w:rsidP="001F0139">
      <w:pPr>
        <w:pStyle w:val="a8"/>
      </w:pPr>
      <w:r w:rsidRPr="001F0139">
        <w:t>в сфере совершенствования инфраструктуры воздушного транспорта:</w:t>
      </w:r>
    </w:p>
    <w:p w:rsidR="00805F04" w:rsidRPr="001F0139" w:rsidRDefault="002760F1" w:rsidP="001F0139">
      <w:pPr>
        <w:pStyle w:val="aa"/>
        <w:spacing w:line="360" w:lineRule="auto"/>
        <w:ind w:firstLine="0"/>
        <w:rPr>
          <w:szCs w:val="28"/>
        </w:rPr>
      </w:pPr>
      <w:r>
        <w:rPr>
          <w:szCs w:val="28"/>
        </w:rPr>
        <w:t xml:space="preserve">  </w:t>
      </w:r>
      <w:r w:rsidR="00805F04" w:rsidRPr="001F0139">
        <w:rPr>
          <w:szCs w:val="28"/>
        </w:rPr>
        <w:t xml:space="preserve"> строительство взлетно-посадочной площадки для малой авиации и вертолетов в селе Камышла.</w:t>
      </w:r>
    </w:p>
    <w:p w:rsidR="00607703" w:rsidRPr="001F0139" w:rsidRDefault="00607703" w:rsidP="001F0139">
      <w:pPr>
        <w:pStyle w:val="ad"/>
      </w:pPr>
      <w:r w:rsidRPr="001F0139">
        <w:t>технической реконструкции линейной части и компрессорных станций с применением энерго- и газосберегающих технологий;</w:t>
      </w:r>
    </w:p>
    <w:p w:rsidR="00607703" w:rsidRPr="001F0139" w:rsidRDefault="00607703" w:rsidP="001F0139">
      <w:pPr>
        <w:pStyle w:val="ad"/>
      </w:pPr>
      <w:r w:rsidRPr="001F0139">
        <w:t xml:space="preserve">развития газораспределительной системы с подключением максимально возможного количества потребителей; </w:t>
      </w:r>
    </w:p>
    <w:p w:rsidR="00607703" w:rsidRPr="001F0139" w:rsidRDefault="00607703" w:rsidP="001F0139">
      <w:pPr>
        <w:pStyle w:val="ad"/>
      </w:pPr>
      <w:r w:rsidRPr="001F0139">
        <w:t xml:space="preserve">строительства и реконструкции газопроводов высокого, среднего и низкого давления. </w:t>
      </w:r>
    </w:p>
    <w:p w:rsidR="00607703" w:rsidRPr="001F0139" w:rsidRDefault="00607703" w:rsidP="001F0139">
      <w:pPr>
        <w:pStyle w:val="ad"/>
      </w:pPr>
      <w:r w:rsidRPr="001F0139">
        <w:t>Проектирование и строительство газопроводов низкого давления в селах Камышла и Старое Ермаково.</w:t>
      </w:r>
    </w:p>
    <w:p w:rsidR="0010573D" w:rsidRPr="001F0139" w:rsidRDefault="0010573D" w:rsidP="001F0139">
      <w:pPr>
        <w:pStyle w:val="ad"/>
      </w:pPr>
      <w:r w:rsidRPr="001F0139">
        <w:t>Строительство и реконструкция канализационных очистных сооружений и сетей канализации межпоселенческого значения с применением безопасных методов обеззараживания воды (ультрафиолетовое облучение, озонирование) в селах Старое Ермаково, Новое Усманово, поселке Юлдуз.</w:t>
      </w:r>
    </w:p>
    <w:p w:rsidR="0010573D" w:rsidRPr="001F0139" w:rsidRDefault="0010573D" w:rsidP="001F0139">
      <w:pPr>
        <w:pStyle w:val="ad"/>
      </w:pPr>
      <w:r w:rsidRPr="001F0139">
        <w:t>Завершение строительства канализационных очистных сооружений в селе Камышла.</w:t>
      </w:r>
    </w:p>
    <w:p w:rsidR="0010573D" w:rsidRPr="001F0139" w:rsidRDefault="0010573D" w:rsidP="001F0139">
      <w:pPr>
        <w:pStyle w:val="ad"/>
      </w:pPr>
      <w:r w:rsidRPr="001F0139">
        <w:t>Ликвидация несанкционированных свалок с последующей рекультивацией занимаемых</w:t>
      </w:r>
      <w:r w:rsidR="002760F1">
        <w:t xml:space="preserve"> </w:t>
      </w:r>
      <w:r w:rsidRPr="001F0139">
        <w:t>ими территорий, расположенных (в том числе) в районе населенных пунктов: Старое Ермаково, Старая Балыкла, Новое Усманово, Старое Усманово, Татарский Байтуган, Никиткино.</w:t>
      </w:r>
    </w:p>
    <w:p w:rsidR="0010573D" w:rsidRPr="001F0139" w:rsidRDefault="0010573D" w:rsidP="001F0139">
      <w:pPr>
        <w:pStyle w:val="ad"/>
        <w:ind w:firstLine="0"/>
      </w:pPr>
      <w:r w:rsidRPr="001F0139">
        <w:t xml:space="preserve"> </w:t>
      </w:r>
      <w:r w:rsidRPr="001F0139">
        <w:tab/>
        <w:t>Строительство полигона твёрдых бытовых отходов в районе села Камышла.</w:t>
      </w:r>
    </w:p>
    <w:p w:rsidR="0010573D" w:rsidRPr="001F0139" w:rsidRDefault="0010573D" w:rsidP="001F0139">
      <w:pPr>
        <w:pStyle w:val="ad"/>
        <w:ind w:firstLine="0"/>
      </w:pPr>
      <w:r w:rsidRPr="001F0139">
        <w:t xml:space="preserve"> </w:t>
      </w:r>
      <w:r w:rsidRPr="001F0139">
        <w:tab/>
        <w:t xml:space="preserve">Приведение действующих скотомогильников, расположенных в районе сел Камышла, Старая Балыкла, в соответствие с требованиями «Ветеринарно-санитарных правил сбора, утилизации и уничтожения </w:t>
      </w:r>
      <w:r w:rsidRPr="001F0139">
        <w:lastRenderedPageBreak/>
        <w:t>биологических отходов», утвержденных Минсельхозпродом РФ 04.12.1995 г. №13-7-2/469.</w:t>
      </w:r>
    </w:p>
    <w:p w:rsidR="0010573D" w:rsidRPr="001F0139" w:rsidRDefault="0010573D" w:rsidP="001F0139">
      <w:pPr>
        <w:pStyle w:val="ad"/>
      </w:pPr>
      <w:r w:rsidRPr="001F0139">
        <w:t>Проектирование и строительство ям Беккари в районе сел Новое Усманово, Русский Байтуган, Старое Усманово, Старое Ермаково.</w:t>
      </w:r>
    </w:p>
    <w:p w:rsidR="0010573D" w:rsidRPr="001F0139" w:rsidRDefault="0010573D" w:rsidP="001F0139">
      <w:pPr>
        <w:pStyle w:val="ad"/>
      </w:pPr>
      <w:r w:rsidRPr="001F0139">
        <w:t>Консервация скотомогильников в районе сел Камышла, Новое Усманово, Никиткино, Новое Ермаково, Старое Ермаково, Русский Байтуган, Старое Усманово.</w:t>
      </w:r>
    </w:p>
    <w:p w:rsidR="0010573D" w:rsidRPr="001F0139" w:rsidRDefault="0010573D" w:rsidP="001F0139">
      <w:pPr>
        <w:pStyle w:val="ad"/>
      </w:pPr>
      <w:r w:rsidRPr="001F0139">
        <w:t>Разработка генеральной схемы очистки территории муниципального района Камышлинский Самарской области.</w:t>
      </w:r>
    </w:p>
    <w:p w:rsidR="0010573D" w:rsidRPr="001F0139" w:rsidRDefault="0010573D" w:rsidP="001F0139">
      <w:pPr>
        <w:pStyle w:val="ad"/>
      </w:pPr>
      <w:r w:rsidRPr="001F0139">
        <w:t>Проведение мероприятий по укреплению береговой линии реки Сок в районе сел</w:t>
      </w:r>
      <w:r w:rsidR="002760F1">
        <w:t xml:space="preserve"> </w:t>
      </w:r>
      <w:r w:rsidRPr="001F0139">
        <w:t>Новое Усманово, Русский Байтуган, Камышла, в сельском поселении Ермаково.</w:t>
      </w:r>
    </w:p>
    <w:p w:rsidR="00805F04" w:rsidRPr="001F0139" w:rsidRDefault="00805F04"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337AC4" w:rsidRPr="001F0139" w:rsidRDefault="00337AC4"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7.2.3. Развитие культурного пространства и национальных традиций</w:t>
      </w:r>
    </w:p>
    <w:p w:rsidR="000320B3" w:rsidRPr="001F0139" w:rsidRDefault="00443650"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Мероприятия</w:t>
      </w:r>
    </w:p>
    <w:p w:rsidR="00443650" w:rsidRPr="001F0139" w:rsidRDefault="00443650" w:rsidP="001F0139">
      <w:pPr>
        <w:pStyle w:val="ad"/>
      </w:pPr>
      <w:r w:rsidRPr="001F0139">
        <w:t>2.7.1. Строительство культурно-досуговых центров в селах Камышла, Старое Ермаково и Новое Усманово.</w:t>
      </w:r>
    </w:p>
    <w:p w:rsidR="00443650" w:rsidRPr="001F0139" w:rsidRDefault="00443650" w:rsidP="001F0139">
      <w:pPr>
        <w:pStyle w:val="ad"/>
      </w:pPr>
      <w:r w:rsidRPr="001F0139">
        <w:t>2.7.2. Строительство молодежного клуба в селе Старое Усманово.</w:t>
      </w:r>
    </w:p>
    <w:p w:rsidR="00443650" w:rsidRPr="001F0139" w:rsidRDefault="00443650" w:rsidP="001F0139">
      <w:pPr>
        <w:spacing w:after="0" w:line="360" w:lineRule="auto"/>
        <w:jc w:val="both"/>
        <w:rPr>
          <w:rFonts w:ascii="Times New Roman" w:hAnsi="Times New Roman" w:cs="Times New Roman"/>
          <w:b/>
          <w:color w:val="365F91" w:themeColor="accent1" w:themeShade="BF"/>
          <w:sz w:val="28"/>
          <w:szCs w:val="28"/>
        </w:rPr>
      </w:pPr>
    </w:p>
    <w:p w:rsidR="00443650" w:rsidRPr="001F0139" w:rsidRDefault="00443650" w:rsidP="001F0139">
      <w:pPr>
        <w:spacing w:after="0" w:line="360" w:lineRule="auto"/>
        <w:jc w:val="both"/>
        <w:rPr>
          <w:rFonts w:ascii="Times New Roman" w:hAnsi="Times New Roman" w:cs="Times New Roman"/>
          <w:b/>
          <w:color w:val="365F91" w:themeColor="accent1" w:themeShade="BF"/>
          <w:sz w:val="28"/>
          <w:szCs w:val="28"/>
        </w:rPr>
      </w:pPr>
    </w:p>
    <w:p w:rsidR="002760F1" w:rsidRDefault="002760F1">
      <w:pP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br w:type="page"/>
      </w:r>
    </w:p>
    <w:p w:rsidR="00443650" w:rsidRPr="001F0139" w:rsidRDefault="00443650" w:rsidP="001F0139">
      <w:pPr>
        <w:spacing w:after="0" w:line="360" w:lineRule="auto"/>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lastRenderedPageBreak/>
        <w:t>Ожидаемые</w:t>
      </w:r>
      <w:r w:rsidR="002760F1">
        <w:rPr>
          <w:rFonts w:ascii="Times New Roman" w:hAnsi="Times New Roman" w:cs="Times New Roman"/>
          <w:b/>
          <w:color w:val="365F91" w:themeColor="accent1" w:themeShade="BF"/>
          <w:sz w:val="28"/>
          <w:szCs w:val="28"/>
        </w:rPr>
        <w:t xml:space="preserve"> </w:t>
      </w:r>
      <w:r w:rsidRPr="001F0139">
        <w:rPr>
          <w:rFonts w:ascii="Times New Roman" w:hAnsi="Times New Roman" w:cs="Times New Roman"/>
          <w:b/>
          <w:color w:val="365F91" w:themeColor="accent1" w:themeShade="BF"/>
          <w:sz w:val="28"/>
          <w:szCs w:val="28"/>
        </w:rPr>
        <w:t>результаты</w:t>
      </w:r>
    </w:p>
    <w:tbl>
      <w:tblPr>
        <w:tblStyle w:val="a9"/>
        <w:tblW w:w="0" w:type="auto"/>
        <w:jc w:val="center"/>
        <w:tblLook w:val="04A0" w:firstRow="1" w:lastRow="0" w:firstColumn="1" w:lastColumn="0" w:noHBand="0" w:noVBand="1"/>
      </w:tblPr>
      <w:tblGrid>
        <w:gridCol w:w="2509"/>
        <w:gridCol w:w="675"/>
        <w:gridCol w:w="1630"/>
        <w:gridCol w:w="865"/>
        <w:gridCol w:w="865"/>
        <w:gridCol w:w="1130"/>
      </w:tblGrid>
      <w:tr w:rsidR="00443650" w:rsidRPr="001F0139" w:rsidTr="00CF5234">
        <w:trPr>
          <w:jc w:val="center"/>
        </w:trPr>
        <w:tc>
          <w:tcPr>
            <w:tcW w:w="2509" w:type="dxa"/>
            <w:shd w:val="clear" w:color="auto" w:fill="C00000"/>
            <w:vAlign w:val="center"/>
          </w:tcPr>
          <w:p w:rsidR="00443650" w:rsidRPr="001F0139" w:rsidRDefault="00443650" w:rsidP="00CF5234">
            <w:pPr>
              <w:jc w:val="center"/>
              <w:rPr>
                <w:rFonts w:ascii="Times New Roman" w:hAnsi="Times New Roman" w:cs="Times New Roman"/>
                <w:b/>
                <w:sz w:val="24"/>
                <w:szCs w:val="24"/>
              </w:rPr>
            </w:pPr>
            <w:r w:rsidRPr="001F0139">
              <w:rPr>
                <w:rFonts w:ascii="Times New Roman" w:hAnsi="Times New Roman" w:cs="Times New Roman"/>
                <w:b/>
                <w:sz w:val="24"/>
                <w:szCs w:val="24"/>
              </w:rPr>
              <w:t>Целевой показатель</w:t>
            </w:r>
          </w:p>
        </w:tc>
        <w:tc>
          <w:tcPr>
            <w:tcW w:w="675" w:type="dxa"/>
            <w:shd w:val="clear" w:color="auto" w:fill="C00000"/>
            <w:vAlign w:val="center"/>
          </w:tcPr>
          <w:p w:rsidR="00443650" w:rsidRPr="001F0139" w:rsidRDefault="00443650" w:rsidP="00CF5234">
            <w:pPr>
              <w:jc w:val="center"/>
              <w:rPr>
                <w:rFonts w:ascii="Times New Roman" w:hAnsi="Times New Roman" w:cs="Times New Roman"/>
                <w:b/>
                <w:sz w:val="24"/>
                <w:szCs w:val="24"/>
              </w:rPr>
            </w:pPr>
            <w:r w:rsidRPr="001F0139">
              <w:rPr>
                <w:rFonts w:ascii="Times New Roman" w:hAnsi="Times New Roman" w:cs="Times New Roman"/>
                <w:b/>
                <w:sz w:val="24"/>
                <w:szCs w:val="24"/>
              </w:rPr>
              <w:t>Ед. изм.</w:t>
            </w:r>
          </w:p>
        </w:tc>
        <w:tc>
          <w:tcPr>
            <w:tcW w:w="1630" w:type="dxa"/>
            <w:shd w:val="clear" w:color="auto" w:fill="C00000"/>
            <w:vAlign w:val="center"/>
          </w:tcPr>
          <w:p w:rsidR="00443650" w:rsidRPr="001F0139" w:rsidRDefault="00443650" w:rsidP="00CF5234">
            <w:pPr>
              <w:jc w:val="center"/>
              <w:rPr>
                <w:rFonts w:ascii="Times New Roman" w:hAnsi="Times New Roman" w:cs="Times New Roman"/>
                <w:b/>
                <w:sz w:val="24"/>
                <w:szCs w:val="24"/>
              </w:rPr>
            </w:pPr>
            <w:r w:rsidRPr="001F0139">
              <w:rPr>
                <w:rFonts w:ascii="Times New Roman" w:hAnsi="Times New Roman" w:cs="Times New Roman"/>
                <w:b/>
                <w:sz w:val="24"/>
                <w:szCs w:val="24"/>
              </w:rPr>
              <w:t>Сценарий</w:t>
            </w:r>
          </w:p>
        </w:tc>
        <w:tc>
          <w:tcPr>
            <w:tcW w:w="865" w:type="dxa"/>
            <w:shd w:val="clear" w:color="auto" w:fill="C00000"/>
            <w:vAlign w:val="center"/>
          </w:tcPr>
          <w:p w:rsidR="00443650" w:rsidRPr="001F0139" w:rsidRDefault="00443650" w:rsidP="00CF5234">
            <w:pPr>
              <w:jc w:val="center"/>
              <w:rPr>
                <w:rFonts w:ascii="Times New Roman" w:hAnsi="Times New Roman" w:cs="Times New Roman"/>
                <w:b/>
                <w:sz w:val="24"/>
                <w:szCs w:val="24"/>
              </w:rPr>
            </w:pPr>
            <w:r w:rsidRPr="001F0139">
              <w:rPr>
                <w:rFonts w:ascii="Times New Roman" w:hAnsi="Times New Roman" w:cs="Times New Roman"/>
                <w:b/>
                <w:sz w:val="24"/>
                <w:szCs w:val="24"/>
              </w:rPr>
              <w:t>2020г.</w:t>
            </w:r>
          </w:p>
        </w:tc>
        <w:tc>
          <w:tcPr>
            <w:tcW w:w="865" w:type="dxa"/>
            <w:shd w:val="clear" w:color="auto" w:fill="C00000"/>
            <w:vAlign w:val="center"/>
          </w:tcPr>
          <w:p w:rsidR="00443650" w:rsidRPr="001F0139" w:rsidRDefault="00443650" w:rsidP="00CF5234">
            <w:pPr>
              <w:jc w:val="center"/>
              <w:rPr>
                <w:rFonts w:ascii="Times New Roman" w:hAnsi="Times New Roman" w:cs="Times New Roman"/>
                <w:b/>
                <w:sz w:val="24"/>
                <w:szCs w:val="24"/>
              </w:rPr>
            </w:pPr>
            <w:r w:rsidRPr="001F0139">
              <w:rPr>
                <w:rFonts w:ascii="Times New Roman" w:hAnsi="Times New Roman" w:cs="Times New Roman"/>
                <w:b/>
                <w:sz w:val="24"/>
                <w:szCs w:val="24"/>
              </w:rPr>
              <w:t>2025г.</w:t>
            </w:r>
          </w:p>
        </w:tc>
        <w:tc>
          <w:tcPr>
            <w:tcW w:w="1130" w:type="dxa"/>
            <w:shd w:val="clear" w:color="auto" w:fill="C00000"/>
            <w:vAlign w:val="center"/>
          </w:tcPr>
          <w:p w:rsidR="00443650" w:rsidRPr="001F0139" w:rsidRDefault="00443650" w:rsidP="00CF5234">
            <w:pPr>
              <w:jc w:val="center"/>
              <w:rPr>
                <w:rFonts w:ascii="Times New Roman" w:hAnsi="Times New Roman" w:cs="Times New Roman"/>
                <w:b/>
                <w:sz w:val="24"/>
                <w:szCs w:val="24"/>
              </w:rPr>
            </w:pPr>
            <w:r w:rsidRPr="001F0139">
              <w:rPr>
                <w:rFonts w:ascii="Times New Roman" w:hAnsi="Times New Roman" w:cs="Times New Roman"/>
                <w:b/>
                <w:sz w:val="24"/>
                <w:szCs w:val="24"/>
              </w:rPr>
              <w:t>2030г.</w:t>
            </w:r>
          </w:p>
        </w:tc>
      </w:tr>
      <w:tr w:rsidR="00443650" w:rsidRPr="001F0139" w:rsidTr="00A722E5">
        <w:trPr>
          <w:trHeight w:val="1767"/>
          <w:jc w:val="center"/>
        </w:trPr>
        <w:tc>
          <w:tcPr>
            <w:tcW w:w="2509" w:type="dxa"/>
            <w:vMerge w:val="restart"/>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 xml:space="preserve">увеличение объемов жилищного строительства с учетом социальной нормы </w:t>
            </w:r>
          </w:p>
        </w:tc>
        <w:tc>
          <w:tcPr>
            <w:tcW w:w="675" w:type="dxa"/>
            <w:vMerge w:val="restart"/>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кв.м на чел</w:t>
            </w:r>
          </w:p>
        </w:tc>
        <w:tc>
          <w:tcPr>
            <w:tcW w:w="1630"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инерционный</w:t>
            </w:r>
          </w:p>
        </w:tc>
        <w:tc>
          <w:tcPr>
            <w:tcW w:w="865"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28</w:t>
            </w:r>
          </w:p>
        </w:tc>
        <w:tc>
          <w:tcPr>
            <w:tcW w:w="865"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29</w:t>
            </w:r>
          </w:p>
        </w:tc>
        <w:tc>
          <w:tcPr>
            <w:tcW w:w="1130"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32</w:t>
            </w:r>
          </w:p>
        </w:tc>
      </w:tr>
      <w:tr w:rsidR="00443650" w:rsidRPr="001F0139" w:rsidTr="00A722E5">
        <w:trPr>
          <w:jc w:val="center"/>
        </w:trPr>
        <w:tc>
          <w:tcPr>
            <w:tcW w:w="2509" w:type="dxa"/>
            <w:vMerge/>
          </w:tcPr>
          <w:p w:rsidR="00443650" w:rsidRPr="001F0139" w:rsidRDefault="00443650" w:rsidP="001F0139">
            <w:pPr>
              <w:jc w:val="both"/>
              <w:rPr>
                <w:rFonts w:ascii="Times New Roman" w:hAnsi="Times New Roman" w:cs="Times New Roman"/>
                <w:sz w:val="24"/>
                <w:szCs w:val="24"/>
              </w:rPr>
            </w:pPr>
          </w:p>
        </w:tc>
        <w:tc>
          <w:tcPr>
            <w:tcW w:w="675" w:type="dxa"/>
            <w:vMerge/>
          </w:tcPr>
          <w:p w:rsidR="00443650" w:rsidRPr="001F0139" w:rsidRDefault="00443650" w:rsidP="001F0139">
            <w:pPr>
              <w:jc w:val="both"/>
              <w:rPr>
                <w:rFonts w:ascii="Times New Roman" w:hAnsi="Times New Roman" w:cs="Times New Roman"/>
                <w:sz w:val="24"/>
                <w:szCs w:val="24"/>
              </w:rPr>
            </w:pPr>
          </w:p>
        </w:tc>
        <w:tc>
          <w:tcPr>
            <w:tcW w:w="1630"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 xml:space="preserve">целевой </w:t>
            </w:r>
          </w:p>
        </w:tc>
        <w:tc>
          <w:tcPr>
            <w:tcW w:w="865"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30</w:t>
            </w:r>
          </w:p>
        </w:tc>
        <w:tc>
          <w:tcPr>
            <w:tcW w:w="865"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32</w:t>
            </w:r>
          </w:p>
        </w:tc>
        <w:tc>
          <w:tcPr>
            <w:tcW w:w="1130"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34</w:t>
            </w:r>
          </w:p>
        </w:tc>
      </w:tr>
      <w:tr w:rsidR="00443650" w:rsidRPr="001F0139" w:rsidTr="00A722E5">
        <w:trPr>
          <w:jc w:val="center"/>
        </w:trPr>
        <w:tc>
          <w:tcPr>
            <w:tcW w:w="2509" w:type="dxa"/>
            <w:vMerge w:val="restart"/>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проведение капитального ремонта к 2030 году в процентах от общей площади существующего жилищного фонда к 2030</w:t>
            </w:r>
          </w:p>
        </w:tc>
        <w:tc>
          <w:tcPr>
            <w:tcW w:w="675" w:type="dxa"/>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w:t>
            </w:r>
          </w:p>
        </w:tc>
        <w:tc>
          <w:tcPr>
            <w:tcW w:w="1630"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инерционный</w:t>
            </w:r>
          </w:p>
        </w:tc>
        <w:tc>
          <w:tcPr>
            <w:tcW w:w="865" w:type="dxa"/>
            <w:vAlign w:val="center"/>
          </w:tcPr>
          <w:p w:rsidR="00443650" w:rsidRPr="001F0139" w:rsidRDefault="00443650" w:rsidP="001F0139">
            <w:pPr>
              <w:jc w:val="both"/>
              <w:rPr>
                <w:rFonts w:ascii="Times New Roman" w:hAnsi="Times New Roman" w:cs="Times New Roman"/>
                <w:i/>
                <w:sz w:val="24"/>
                <w:szCs w:val="24"/>
              </w:rPr>
            </w:pPr>
            <w:r w:rsidRPr="001F0139">
              <w:rPr>
                <w:rFonts w:ascii="Times New Roman" w:hAnsi="Times New Roman" w:cs="Times New Roman"/>
                <w:i/>
                <w:sz w:val="24"/>
                <w:szCs w:val="24"/>
              </w:rPr>
              <w:t>20</w:t>
            </w:r>
          </w:p>
        </w:tc>
        <w:tc>
          <w:tcPr>
            <w:tcW w:w="865"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22</w:t>
            </w:r>
          </w:p>
        </w:tc>
        <w:tc>
          <w:tcPr>
            <w:tcW w:w="1130"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25</w:t>
            </w:r>
          </w:p>
        </w:tc>
      </w:tr>
      <w:tr w:rsidR="00443650" w:rsidRPr="001F0139" w:rsidTr="00A722E5">
        <w:trPr>
          <w:jc w:val="center"/>
        </w:trPr>
        <w:tc>
          <w:tcPr>
            <w:tcW w:w="2509" w:type="dxa"/>
            <w:vMerge/>
          </w:tcPr>
          <w:p w:rsidR="00443650" w:rsidRPr="001F0139" w:rsidRDefault="00443650" w:rsidP="001F0139">
            <w:pPr>
              <w:jc w:val="both"/>
              <w:rPr>
                <w:rFonts w:ascii="Times New Roman" w:hAnsi="Times New Roman" w:cs="Times New Roman"/>
                <w:sz w:val="24"/>
                <w:szCs w:val="24"/>
              </w:rPr>
            </w:pPr>
          </w:p>
        </w:tc>
        <w:tc>
          <w:tcPr>
            <w:tcW w:w="675" w:type="dxa"/>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w:t>
            </w:r>
          </w:p>
        </w:tc>
        <w:tc>
          <w:tcPr>
            <w:tcW w:w="1630"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 xml:space="preserve">целевой </w:t>
            </w:r>
          </w:p>
        </w:tc>
        <w:tc>
          <w:tcPr>
            <w:tcW w:w="865"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22</w:t>
            </w:r>
          </w:p>
        </w:tc>
        <w:tc>
          <w:tcPr>
            <w:tcW w:w="865"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25</w:t>
            </w:r>
          </w:p>
        </w:tc>
        <w:tc>
          <w:tcPr>
            <w:tcW w:w="1130"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30</w:t>
            </w:r>
          </w:p>
        </w:tc>
      </w:tr>
      <w:tr w:rsidR="00443650" w:rsidRPr="001F0139" w:rsidTr="00A722E5">
        <w:trPr>
          <w:trHeight w:val="1433"/>
          <w:jc w:val="center"/>
        </w:trPr>
        <w:tc>
          <w:tcPr>
            <w:tcW w:w="2509" w:type="dxa"/>
            <w:vMerge w:val="restart"/>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 xml:space="preserve">удовлетворенность населения условиями среды проживания в населенных пунктах </w:t>
            </w:r>
          </w:p>
          <w:p w:rsidR="00443650" w:rsidRPr="001F0139" w:rsidRDefault="00443650" w:rsidP="001F0139">
            <w:pPr>
              <w:jc w:val="both"/>
              <w:rPr>
                <w:rFonts w:ascii="Times New Roman" w:hAnsi="Times New Roman" w:cs="Times New Roman"/>
                <w:sz w:val="24"/>
                <w:szCs w:val="24"/>
              </w:rPr>
            </w:pPr>
          </w:p>
        </w:tc>
        <w:tc>
          <w:tcPr>
            <w:tcW w:w="675" w:type="dxa"/>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w:t>
            </w:r>
          </w:p>
        </w:tc>
        <w:tc>
          <w:tcPr>
            <w:tcW w:w="1630"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инерционный</w:t>
            </w:r>
          </w:p>
        </w:tc>
        <w:tc>
          <w:tcPr>
            <w:tcW w:w="865"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60</w:t>
            </w:r>
          </w:p>
        </w:tc>
        <w:tc>
          <w:tcPr>
            <w:tcW w:w="865"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70</w:t>
            </w:r>
          </w:p>
        </w:tc>
        <w:tc>
          <w:tcPr>
            <w:tcW w:w="1130"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80</w:t>
            </w:r>
          </w:p>
        </w:tc>
      </w:tr>
      <w:tr w:rsidR="00443650" w:rsidRPr="001F0139" w:rsidTr="00A722E5">
        <w:trPr>
          <w:jc w:val="center"/>
        </w:trPr>
        <w:tc>
          <w:tcPr>
            <w:tcW w:w="2509" w:type="dxa"/>
            <w:vMerge/>
          </w:tcPr>
          <w:p w:rsidR="00443650" w:rsidRPr="001F0139" w:rsidRDefault="00443650" w:rsidP="001F0139">
            <w:pPr>
              <w:jc w:val="both"/>
              <w:rPr>
                <w:rFonts w:ascii="Times New Roman" w:hAnsi="Times New Roman" w:cs="Times New Roman"/>
                <w:sz w:val="24"/>
                <w:szCs w:val="24"/>
              </w:rPr>
            </w:pPr>
          </w:p>
        </w:tc>
        <w:tc>
          <w:tcPr>
            <w:tcW w:w="675" w:type="dxa"/>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w:t>
            </w:r>
          </w:p>
        </w:tc>
        <w:tc>
          <w:tcPr>
            <w:tcW w:w="1630"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 xml:space="preserve">целевой </w:t>
            </w:r>
          </w:p>
        </w:tc>
        <w:tc>
          <w:tcPr>
            <w:tcW w:w="865"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71</w:t>
            </w:r>
          </w:p>
        </w:tc>
        <w:tc>
          <w:tcPr>
            <w:tcW w:w="865"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89</w:t>
            </w:r>
          </w:p>
        </w:tc>
        <w:tc>
          <w:tcPr>
            <w:tcW w:w="1130"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90</w:t>
            </w:r>
          </w:p>
        </w:tc>
      </w:tr>
    </w:tbl>
    <w:p w:rsidR="00443650" w:rsidRPr="001F0139" w:rsidRDefault="00443650" w:rsidP="001F0139">
      <w:pPr>
        <w:spacing w:after="0" w:line="360" w:lineRule="auto"/>
        <w:jc w:val="both"/>
        <w:rPr>
          <w:rFonts w:ascii="Times New Roman" w:hAnsi="Times New Roman" w:cs="Times New Roman"/>
          <w:b/>
          <w:color w:val="365F91" w:themeColor="accent1" w:themeShade="BF"/>
          <w:sz w:val="28"/>
          <w:szCs w:val="28"/>
        </w:rPr>
      </w:pPr>
    </w:p>
    <w:tbl>
      <w:tblPr>
        <w:tblStyle w:val="a9"/>
        <w:tblW w:w="0" w:type="auto"/>
        <w:jc w:val="center"/>
        <w:tblLook w:val="04A0" w:firstRow="1" w:lastRow="0" w:firstColumn="1" w:lastColumn="0" w:noHBand="0" w:noVBand="1"/>
      </w:tblPr>
      <w:tblGrid>
        <w:gridCol w:w="2509"/>
        <w:gridCol w:w="675"/>
        <w:gridCol w:w="1630"/>
        <w:gridCol w:w="865"/>
        <w:gridCol w:w="865"/>
        <w:gridCol w:w="1130"/>
      </w:tblGrid>
      <w:tr w:rsidR="00443650" w:rsidRPr="001F0139" w:rsidTr="00CF5234">
        <w:trPr>
          <w:jc w:val="center"/>
        </w:trPr>
        <w:tc>
          <w:tcPr>
            <w:tcW w:w="2509" w:type="dxa"/>
            <w:shd w:val="clear" w:color="auto" w:fill="C00000"/>
            <w:vAlign w:val="center"/>
          </w:tcPr>
          <w:p w:rsidR="00443650" w:rsidRPr="001F0139" w:rsidRDefault="00443650" w:rsidP="00CF5234">
            <w:pPr>
              <w:jc w:val="center"/>
              <w:rPr>
                <w:rFonts w:ascii="Times New Roman" w:hAnsi="Times New Roman" w:cs="Times New Roman"/>
                <w:b/>
                <w:sz w:val="24"/>
                <w:szCs w:val="24"/>
              </w:rPr>
            </w:pPr>
            <w:r w:rsidRPr="001F0139">
              <w:rPr>
                <w:rFonts w:ascii="Times New Roman" w:hAnsi="Times New Roman" w:cs="Times New Roman"/>
                <w:b/>
                <w:sz w:val="24"/>
                <w:szCs w:val="24"/>
              </w:rPr>
              <w:t>Целевой показатель</w:t>
            </w:r>
          </w:p>
        </w:tc>
        <w:tc>
          <w:tcPr>
            <w:tcW w:w="675" w:type="dxa"/>
            <w:shd w:val="clear" w:color="auto" w:fill="C00000"/>
          </w:tcPr>
          <w:p w:rsidR="00443650" w:rsidRPr="001F0139" w:rsidRDefault="00443650" w:rsidP="001F0139">
            <w:pPr>
              <w:jc w:val="center"/>
              <w:rPr>
                <w:rFonts w:ascii="Times New Roman" w:hAnsi="Times New Roman" w:cs="Times New Roman"/>
                <w:b/>
                <w:sz w:val="24"/>
                <w:szCs w:val="24"/>
              </w:rPr>
            </w:pPr>
            <w:r w:rsidRPr="001F0139">
              <w:rPr>
                <w:rFonts w:ascii="Times New Roman" w:hAnsi="Times New Roman" w:cs="Times New Roman"/>
                <w:b/>
                <w:sz w:val="24"/>
                <w:szCs w:val="24"/>
              </w:rPr>
              <w:t>Ед. изм.</w:t>
            </w:r>
          </w:p>
        </w:tc>
        <w:tc>
          <w:tcPr>
            <w:tcW w:w="1630" w:type="dxa"/>
            <w:shd w:val="clear" w:color="auto" w:fill="C00000"/>
            <w:vAlign w:val="center"/>
          </w:tcPr>
          <w:p w:rsidR="00443650" w:rsidRPr="001F0139" w:rsidRDefault="00443650" w:rsidP="001F0139">
            <w:pPr>
              <w:jc w:val="center"/>
              <w:rPr>
                <w:rFonts w:ascii="Times New Roman" w:hAnsi="Times New Roman" w:cs="Times New Roman"/>
                <w:b/>
                <w:sz w:val="24"/>
                <w:szCs w:val="24"/>
              </w:rPr>
            </w:pPr>
            <w:r w:rsidRPr="001F0139">
              <w:rPr>
                <w:rFonts w:ascii="Times New Roman" w:hAnsi="Times New Roman" w:cs="Times New Roman"/>
                <w:b/>
                <w:sz w:val="24"/>
                <w:szCs w:val="24"/>
              </w:rPr>
              <w:t>Сценарий</w:t>
            </w:r>
          </w:p>
        </w:tc>
        <w:tc>
          <w:tcPr>
            <w:tcW w:w="865" w:type="dxa"/>
            <w:shd w:val="clear" w:color="auto" w:fill="C00000"/>
          </w:tcPr>
          <w:p w:rsidR="00443650" w:rsidRPr="001F0139" w:rsidRDefault="00443650" w:rsidP="001F0139">
            <w:pPr>
              <w:rPr>
                <w:rFonts w:ascii="Times New Roman" w:hAnsi="Times New Roman" w:cs="Times New Roman"/>
                <w:b/>
                <w:sz w:val="24"/>
                <w:szCs w:val="24"/>
              </w:rPr>
            </w:pPr>
            <w:r w:rsidRPr="001F0139">
              <w:rPr>
                <w:rFonts w:ascii="Times New Roman" w:hAnsi="Times New Roman" w:cs="Times New Roman"/>
                <w:b/>
                <w:sz w:val="24"/>
                <w:szCs w:val="24"/>
              </w:rPr>
              <w:t>2020г.</w:t>
            </w:r>
          </w:p>
        </w:tc>
        <w:tc>
          <w:tcPr>
            <w:tcW w:w="865" w:type="dxa"/>
            <w:shd w:val="clear" w:color="auto" w:fill="C00000"/>
          </w:tcPr>
          <w:p w:rsidR="00443650" w:rsidRPr="001F0139" w:rsidRDefault="00443650" w:rsidP="001F0139">
            <w:pPr>
              <w:rPr>
                <w:rFonts w:ascii="Times New Roman" w:hAnsi="Times New Roman" w:cs="Times New Roman"/>
                <w:b/>
                <w:sz w:val="24"/>
                <w:szCs w:val="24"/>
              </w:rPr>
            </w:pPr>
            <w:r w:rsidRPr="001F0139">
              <w:rPr>
                <w:rFonts w:ascii="Times New Roman" w:hAnsi="Times New Roman" w:cs="Times New Roman"/>
                <w:b/>
                <w:sz w:val="24"/>
                <w:szCs w:val="24"/>
              </w:rPr>
              <w:t>2025г.</w:t>
            </w:r>
          </w:p>
        </w:tc>
        <w:tc>
          <w:tcPr>
            <w:tcW w:w="1130" w:type="dxa"/>
            <w:shd w:val="clear" w:color="auto" w:fill="C00000"/>
          </w:tcPr>
          <w:p w:rsidR="00443650" w:rsidRPr="001F0139" w:rsidRDefault="00443650" w:rsidP="001F0139">
            <w:pPr>
              <w:rPr>
                <w:rFonts w:ascii="Times New Roman" w:hAnsi="Times New Roman" w:cs="Times New Roman"/>
                <w:b/>
                <w:sz w:val="24"/>
                <w:szCs w:val="24"/>
              </w:rPr>
            </w:pPr>
            <w:r w:rsidRPr="001F0139">
              <w:rPr>
                <w:rFonts w:ascii="Times New Roman" w:hAnsi="Times New Roman" w:cs="Times New Roman"/>
                <w:b/>
                <w:sz w:val="24"/>
                <w:szCs w:val="24"/>
              </w:rPr>
              <w:t>2030г.</w:t>
            </w:r>
          </w:p>
        </w:tc>
      </w:tr>
      <w:tr w:rsidR="00443650" w:rsidRPr="001F0139" w:rsidTr="00A722E5">
        <w:trPr>
          <w:trHeight w:val="1767"/>
          <w:jc w:val="center"/>
        </w:trPr>
        <w:tc>
          <w:tcPr>
            <w:tcW w:w="2509" w:type="dxa"/>
            <w:vMerge w:val="restart"/>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 xml:space="preserve">Доля автомобильных дорог местного значения с асфальтобетонным покрытием в </w:t>
            </w:r>
            <w:r w:rsidR="001F0139">
              <w:rPr>
                <w:rFonts w:ascii="Times New Roman" w:hAnsi="Times New Roman" w:cs="Times New Roman"/>
                <w:sz w:val="24"/>
                <w:szCs w:val="24"/>
              </w:rPr>
              <w:t>район</w:t>
            </w:r>
            <w:r w:rsidRPr="001F0139">
              <w:rPr>
                <w:rFonts w:ascii="Times New Roman" w:hAnsi="Times New Roman" w:cs="Times New Roman"/>
                <w:sz w:val="24"/>
                <w:szCs w:val="24"/>
              </w:rPr>
              <w:t>е, находящихся в нормативном состоянии.</w:t>
            </w:r>
          </w:p>
        </w:tc>
        <w:tc>
          <w:tcPr>
            <w:tcW w:w="675" w:type="dxa"/>
            <w:vMerge w:val="restart"/>
          </w:tcPr>
          <w:p w:rsidR="00443650" w:rsidRPr="001F0139" w:rsidRDefault="00443650" w:rsidP="001F0139">
            <w:pPr>
              <w:rPr>
                <w:rFonts w:ascii="Times New Roman" w:hAnsi="Times New Roman" w:cs="Times New Roman"/>
              </w:rPr>
            </w:pPr>
            <w:r w:rsidRPr="001F0139">
              <w:rPr>
                <w:rFonts w:ascii="Times New Roman" w:hAnsi="Times New Roman" w:cs="Times New Roman"/>
                <w:sz w:val="24"/>
                <w:szCs w:val="24"/>
              </w:rPr>
              <w:t>%</w:t>
            </w:r>
          </w:p>
        </w:tc>
        <w:tc>
          <w:tcPr>
            <w:tcW w:w="1630"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инерционный</w:t>
            </w:r>
          </w:p>
        </w:tc>
        <w:tc>
          <w:tcPr>
            <w:tcW w:w="865" w:type="dxa"/>
          </w:tcPr>
          <w:p w:rsidR="00443650" w:rsidRPr="001F0139" w:rsidRDefault="00443650" w:rsidP="001F0139">
            <w:pPr>
              <w:rPr>
                <w:rFonts w:ascii="Times New Roman" w:hAnsi="Times New Roman" w:cs="Times New Roman"/>
              </w:rPr>
            </w:pPr>
            <w:r w:rsidRPr="001F0139">
              <w:rPr>
                <w:rFonts w:ascii="Times New Roman" w:hAnsi="Times New Roman" w:cs="Times New Roman"/>
              </w:rPr>
              <w:t>75</w:t>
            </w:r>
          </w:p>
        </w:tc>
        <w:tc>
          <w:tcPr>
            <w:tcW w:w="865" w:type="dxa"/>
          </w:tcPr>
          <w:p w:rsidR="00443650" w:rsidRPr="001F0139" w:rsidRDefault="00443650" w:rsidP="001F0139">
            <w:pPr>
              <w:rPr>
                <w:rFonts w:ascii="Times New Roman" w:hAnsi="Times New Roman" w:cs="Times New Roman"/>
              </w:rPr>
            </w:pPr>
            <w:r w:rsidRPr="001F0139">
              <w:rPr>
                <w:rFonts w:ascii="Times New Roman" w:hAnsi="Times New Roman" w:cs="Times New Roman"/>
                <w:sz w:val="24"/>
                <w:szCs w:val="24"/>
              </w:rPr>
              <w:t>80</w:t>
            </w:r>
          </w:p>
        </w:tc>
        <w:tc>
          <w:tcPr>
            <w:tcW w:w="1130" w:type="dxa"/>
          </w:tcPr>
          <w:p w:rsidR="00443650" w:rsidRPr="001F0139" w:rsidRDefault="00443650" w:rsidP="001F0139">
            <w:pPr>
              <w:rPr>
                <w:rFonts w:ascii="Times New Roman" w:hAnsi="Times New Roman" w:cs="Times New Roman"/>
              </w:rPr>
            </w:pPr>
            <w:r w:rsidRPr="001F0139">
              <w:rPr>
                <w:rFonts w:ascii="Times New Roman" w:hAnsi="Times New Roman" w:cs="Times New Roman"/>
                <w:sz w:val="24"/>
                <w:szCs w:val="24"/>
              </w:rPr>
              <w:t>90</w:t>
            </w:r>
          </w:p>
        </w:tc>
      </w:tr>
      <w:tr w:rsidR="00443650" w:rsidRPr="001F0139" w:rsidTr="00A722E5">
        <w:trPr>
          <w:jc w:val="center"/>
        </w:trPr>
        <w:tc>
          <w:tcPr>
            <w:tcW w:w="2509" w:type="dxa"/>
            <w:vMerge/>
          </w:tcPr>
          <w:p w:rsidR="00443650" w:rsidRPr="001F0139" w:rsidRDefault="00443650" w:rsidP="001F0139">
            <w:pPr>
              <w:jc w:val="both"/>
              <w:rPr>
                <w:rFonts w:ascii="Times New Roman" w:hAnsi="Times New Roman" w:cs="Times New Roman"/>
                <w:sz w:val="24"/>
                <w:szCs w:val="24"/>
              </w:rPr>
            </w:pPr>
          </w:p>
        </w:tc>
        <w:tc>
          <w:tcPr>
            <w:tcW w:w="675" w:type="dxa"/>
            <w:vMerge/>
          </w:tcPr>
          <w:p w:rsidR="00443650" w:rsidRPr="001F0139" w:rsidRDefault="00443650" w:rsidP="001F0139">
            <w:pPr>
              <w:jc w:val="both"/>
              <w:rPr>
                <w:rFonts w:ascii="Times New Roman" w:hAnsi="Times New Roman" w:cs="Times New Roman"/>
                <w:sz w:val="24"/>
                <w:szCs w:val="24"/>
              </w:rPr>
            </w:pPr>
          </w:p>
        </w:tc>
        <w:tc>
          <w:tcPr>
            <w:tcW w:w="1630" w:type="dxa"/>
            <w:vAlign w:val="center"/>
          </w:tcPr>
          <w:p w:rsidR="00443650" w:rsidRPr="001F0139" w:rsidRDefault="00443650" w:rsidP="001F0139">
            <w:pPr>
              <w:jc w:val="both"/>
              <w:rPr>
                <w:rFonts w:ascii="Times New Roman" w:hAnsi="Times New Roman" w:cs="Times New Roman"/>
                <w:sz w:val="24"/>
                <w:szCs w:val="24"/>
              </w:rPr>
            </w:pPr>
            <w:r w:rsidRPr="001F0139">
              <w:rPr>
                <w:rFonts w:ascii="Times New Roman" w:hAnsi="Times New Roman" w:cs="Times New Roman"/>
                <w:sz w:val="24"/>
                <w:szCs w:val="24"/>
              </w:rPr>
              <w:t xml:space="preserve">целевой </w:t>
            </w:r>
          </w:p>
        </w:tc>
        <w:tc>
          <w:tcPr>
            <w:tcW w:w="865" w:type="dxa"/>
          </w:tcPr>
          <w:p w:rsidR="00443650" w:rsidRPr="001F0139" w:rsidRDefault="00443650" w:rsidP="001F0139">
            <w:pPr>
              <w:rPr>
                <w:rFonts w:ascii="Times New Roman" w:hAnsi="Times New Roman" w:cs="Times New Roman"/>
              </w:rPr>
            </w:pPr>
            <w:r w:rsidRPr="001F0139">
              <w:rPr>
                <w:rFonts w:ascii="Times New Roman" w:hAnsi="Times New Roman" w:cs="Times New Roman"/>
              </w:rPr>
              <w:t>76</w:t>
            </w:r>
          </w:p>
        </w:tc>
        <w:tc>
          <w:tcPr>
            <w:tcW w:w="865" w:type="dxa"/>
          </w:tcPr>
          <w:p w:rsidR="00443650" w:rsidRPr="001F0139" w:rsidRDefault="00443650" w:rsidP="001F0139">
            <w:pPr>
              <w:rPr>
                <w:rFonts w:ascii="Times New Roman" w:hAnsi="Times New Roman" w:cs="Times New Roman"/>
              </w:rPr>
            </w:pPr>
            <w:r w:rsidRPr="001F0139">
              <w:rPr>
                <w:rFonts w:ascii="Times New Roman" w:hAnsi="Times New Roman" w:cs="Times New Roman"/>
                <w:sz w:val="24"/>
                <w:szCs w:val="24"/>
              </w:rPr>
              <w:t xml:space="preserve">85 </w:t>
            </w:r>
          </w:p>
        </w:tc>
        <w:tc>
          <w:tcPr>
            <w:tcW w:w="1130" w:type="dxa"/>
          </w:tcPr>
          <w:p w:rsidR="00443650" w:rsidRPr="001F0139" w:rsidRDefault="00443650" w:rsidP="001F0139">
            <w:pPr>
              <w:rPr>
                <w:rFonts w:ascii="Times New Roman" w:hAnsi="Times New Roman" w:cs="Times New Roman"/>
              </w:rPr>
            </w:pPr>
            <w:r w:rsidRPr="001F0139">
              <w:rPr>
                <w:rFonts w:ascii="Times New Roman" w:hAnsi="Times New Roman" w:cs="Times New Roman"/>
                <w:sz w:val="24"/>
                <w:szCs w:val="24"/>
              </w:rPr>
              <w:t xml:space="preserve">95 </w:t>
            </w:r>
          </w:p>
        </w:tc>
      </w:tr>
    </w:tbl>
    <w:p w:rsidR="00443650" w:rsidRPr="001F0139" w:rsidRDefault="00443650" w:rsidP="001F0139">
      <w:pPr>
        <w:spacing w:after="0" w:line="360" w:lineRule="auto"/>
        <w:jc w:val="both"/>
        <w:rPr>
          <w:rFonts w:ascii="Times New Roman" w:hAnsi="Times New Roman" w:cs="Times New Roman"/>
          <w:b/>
          <w:color w:val="365F91" w:themeColor="accent1" w:themeShade="BF"/>
          <w:sz w:val="28"/>
          <w:szCs w:val="28"/>
        </w:rPr>
      </w:pPr>
    </w:p>
    <w:p w:rsidR="00443650" w:rsidRPr="001F0139" w:rsidRDefault="00443650" w:rsidP="001F0139">
      <w:pPr>
        <w:spacing w:after="0" w:line="360" w:lineRule="auto"/>
        <w:jc w:val="both"/>
        <w:rPr>
          <w:rFonts w:ascii="Times New Roman" w:hAnsi="Times New Roman" w:cs="Times New Roman"/>
          <w:b/>
          <w:color w:val="365F91" w:themeColor="accent1" w:themeShade="BF"/>
          <w:sz w:val="28"/>
          <w:szCs w:val="28"/>
        </w:rPr>
      </w:pPr>
    </w:p>
    <w:p w:rsidR="00E74438" w:rsidRPr="001F0139" w:rsidRDefault="00E7443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2760F1" w:rsidRDefault="002760F1">
      <w:pP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br w:type="page"/>
      </w:r>
    </w:p>
    <w:p w:rsidR="00CB5772" w:rsidRPr="001F0139" w:rsidRDefault="00CB5772"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lastRenderedPageBreak/>
        <w:t>8. Создание инновационной экономики, в которой человеческий капитал востребован, успешно функционирует и развивается.</w:t>
      </w:r>
    </w:p>
    <w:p w:rsidR="00CB5772" w:rsidRPr="001F0139" w:rsidRDefault="00CB5772"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8.1. Стратегическая диагностика</w:t>
      </w:r>
    </w:p>
    <w:p w:rsidR="00F51B81" w:rsidRPr="001F0139" w:rsidRDefault="00F51B81" w:rsidP="001F0139">
      <w:pPr>
        <w:spacing w:after="0" w:line="360" w:lineRule="auto"/>
        <w:ind w:firstLine="709"/>
        <w:jc w:val="both"/>
        <w:rPr>
          <w:rFonts w:ascii="Times New Roman" w:hAnsi="Times New Roman" w:cs="Times New Roman"/>
          <w:sz w:val="28"/>
          <w:szCs w:val="28"/>
        </w:rPr>
      </w:pPr>
    </w:p>
    <w:p w:rsidR="00F51B81" w:rsidRPr="001F0139" w:rsidRDefault="00F51B81" w:rsidP="00304575">
      <w:pPr>
        <w:spacing w:after="0" w:line="360" w:lineRule="auto"/>
        <w:ind w:left="-425"/>
        <w:contextualSpacing/>
        <w:jc w:val="both"/>
        <w:outlineLvl w:val="1"/>
        <w:rPr>
          <w:rFonts w:ascii="Times New Roman" w:hAnsi="Times New Roman" w:cs="Times New Roman"/>
          <w:b/>
          <w:color w:val="365F91"/>
          <w:sz w:val="28"/>
          <w:szCs w:val="28"/>
        </w:rPr>
      </w:pPr>
      <w:bookmarkStart w:id="29" w:name="_Toc520894837"/>
      <w:r w:rsidRPr="001F0139">
        <w:rPr>
          <w:rFonts w:ascii="Times New Roman" w:hAnsi="Times New Roman" w:cs="Times New Roman"/>
          <w:b/>
          <w:color w:val="365F91"/>
          <w:sz w:val="28"/>
          <w:szCs w:val="28"/>
        </w:rPr>
        <w:t>Экономическое развитие и управление</w:t>
      </w:r>
      <w:bookmarkEnd w:id="29"/>
    </w:p>
    <w:p w:rsidR="00F51B81" w:rsidRPr="001F0139" w:rsidRDefault="00F51B81" w:rsidP="001F0139">
      <w:pPr>
        <w:spacing w:after="0" w:line="360" w:lineRule="auto"/>
        <w:contextualSpacing/>
        <w:jc w:val="both"/>
        <w:outlineLvl w:val="1"/>
        <w:rPr>
          <w:rFonts w:ascii="Times New Roman" w:hAnsi="Times New Roman" w:cs="Times New Roman"/>
          <w:b/>
          <w:color w:val="365F91"/>
          <w:sz w:val="28"/>
          <w:szCs w:val="28"/>
        </w:rPr>
      </w:pPr>
      <w:bookmarkStart w:id="30" w:name="_Toc520894838"/>
      <w:r w:rsidRPr="001F0139">
        <w:rPr>
          <w:rFonts w:ascii="Times New Roman" w:hAnsi="Times New Roman" w:cs="Times New Roman"/>
          <w:b/>
          <w:color w:val="365F91"/>
          <w:sz w:val="28"/>
          <w:szCs w:val="28"/>
        </w:rPr>
        <w:t xml:space="preserve"> Промышленность</w:t>
      </w:r>
      <w:bookmarkEnd w:id="30"/>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сводном рейтинге социально-экономического развития муниципальных районов Самарской области в период 2013-2017 гг. Камышлинский район занимает 23-26 места, демонстрируя низкие темпы экономического роста и динамику развития по сравнению с другими муниципальными районами Самарской области.</w:t>
      </w: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Индекс промышленного производства снизился за рассматриваемый период с 9 места в 2013 г. до 19 места в 2017 г. (наилучший результат – 4 место – был зафиксирован в 2014 году). Район характеризуется неустойчивой динамикой промышленного производства, стабильно малым объемом отгруженной продукции (19 место за весь рассматриваемый период). Кроме того, стабильно низкие значения наблюдаются по такому показателю, как бюджетная обеспеченность за счет налоговых и неналоговых доходов на душу населения (лучший результат за рассматриваемый период – 20 место в 2015 году). По данным за 2017 год бюджетная обеспеченность населения Камышлинского района составила 4928 руб./чел., что является одним из самых низких значений по муниципальным районам Самарской области.</w:t>
      </w: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По инвестициям в основной капитал на душу населения Камышлинский район поднялся в рейтинге СЭР с 12 места в 2013 г. на 7 место в 2017 г. (рис. 1.5.1)</w:t>
      </w:r>
    </w:p>
    <w:p w:rsidR="00F51B81" w:rsidRPr="001F0139" w:rsidRDefault="00F51B81" w:rsidP="001F0139">
      <w:pPr>
        <w:spacing w:after="0" w:line="240" w:lineRule="auto"/>
        <w:jc w:val="center"/>
        <w:rPr>
          <w:rFonts w:ascii="Times New Roman" w:hAnsi="Times New Roman" w:cs="Times New Roman"/>
          <w:sz w:val="28"/>
          <w:szCs w:val="28"/>
        </w:rPr>
      </w:pPr>
      <w:r w:rsidRPr="001F0139">
        <w:rPr>
          <w:rFonts w:ascii="Times New Roman" w:hAnsi="Times New Roman" w:cs="Times New Roman"/>
          <w:noProof/>
          <w:sz w:val="28"/>
          <w:szCs w:val="28"/>
          <w:lang w:eastAsia="ru-RU"/>
        </w:rPr>
        <w:lastRenderedPageBreak/>
        <w:drawing>
          <wp:inline distT="0" distB="0" distL="0" distR="0">
            <wp:extent cx="5401691" cy="3529584"/>
            <wp:effectExtent l="19050" t="0" r="27559" b="0"/>
            <wp:docPr id="2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51B81" w:rsidRPr="001F0139" w:rsidRDefault="00F51B81"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sz w:val="20"/>
          <w:szCs w:val="20"/>
        </w:rPr>
        <w:t xml:space="preserve">Источники: Рейтинг социально-экономического развития муниципальных образований Самарской области МЭРИТ </w:t>
      </w:r>
      <w:r w:rsidRPr="001F0139">
        <w:rPr>
          <w:rFonts w:ascii="Times New Roman" w:hAnsi="Times New Roman" w:cs="Times New Roman"/>
          <w:sz w:val="20"/>
          <w:szCs w:val="20"/>
          <w:lang w:eastAsia="ru-RU"/>
        </w:rPr>
        <w:t xml:space="preserve">– Режим доступа: </w:t>
      </w:r>
      <w:hyperlink r:id="rId42" w:history="1">
        <w:r w:rsidRPr="001F0139">
          <w:rPr>
            <w:rFonts w:ascii="Times New Roman" w:hAnsi="Times New Roman" w:cs="Times New Roman"/>
            <w:color w:val="0000FF"/>
            <w:sz w:val="20"/>
            <w:szCs w:val="20"/>
            <w:u w:val="single"/>
          </w:rPr>
          <w:t>http://economy.samregion.ru/</w:t>
        </w:r>
      </w:hyperlink>
      <w:r w:rsidRPr="001F0139">
        <w:rPr>
          <w:rFonts w:ascii="Times New Roman" w:hAnsi="Times New Roman" w:cs="Times New Roman"/>
          <w:sz w:val="20"/>
          <w:szCs w:val="20"/>
        </w:rPr>
        <w:t>; аналитика ФГБОУ ВО «СГЭУ»</w:t>
      </w:r>
    </w:p>
    <w:p w:rsidR="00F51B81" w:rsidRPr="001F0139" w:rsidRDefault="00F51B81" w:rsidP="001F0139">
      <w:pPr>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Рисунок 1.5.1 - Позиции Камышлинского района в рейтинге</w:t>
      </w:r>
    </w:p>
    <w:p w:rsidR="00F51B81" w:rsidRPr="001F0139" w:rsidRDefault="00F51B81" w:rsidP="001F0139">
      <w:pPr>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социально-экономического развития муниципальных районов</w:t>
      </w:r>
    </w:p>
    <w:p w:rsidR="00F51B81" w:rsidRPr="001F0139" w:rsidRDefault="00F51B81" w:rsidP="001F0139">
      <w:pPr>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Самарской области в 2013-2017 гг.</w:t>
      </w:r>
    </w:p>
    <w:p w:rsidR="00F51B81" w:rsidRPr="001F0139" w:rsidRDefault="00F51B81" w:rsidP="001F0139">
      <w:pPr>
        <w:spacing w:after="0" w:line="240" w:lineRule="auto"/>
        <w:jc w:val="center"/>
        <w:rPr>
          <w:rFonts w:ascii="Times New Roman" w:hAnsi="Times New Roman" w:cs="Times New Roman"/>
          <w:sz w:val="28"/>
          <w:szCs w:val="28"/>
        </w:rPr>
      </w:pPr>
    </w:p>
    <w:p w:rsidR="00F51B81" w:rsidRPr="001F0139" w:rsidRDefault="00F51B81" w:rsidP="001F0139">
      <w:pPr>
        <w:spacing w:after="0" w:line="360" w:lineRule="auto"/>
        <w:ind w:firstLine="709"/>
        <w:jc w:val="both"/>
        <w:rPr>
          <w:rFonts w:ascii="Times New Roman" w:hAnsi="Times New Roman" w:cs="Times New Roman"/>
          <w:color w:val="000000"/>
          <w:sz w:val="28"/>
          <w:szCs w:val="28"/>
          <w:shd w:val="clear" w:color="auto" w:fill="FFFFFF"/>
        </w:rPr>
      </w:pPr>
      <w:r w:rsidRPr="001F0139">
        <w:rPr>
          <w:rFonts w:ascii="Times New Roman" w:hAnsi="Times New Roman" w:cs="Times New Roman"/>
          <w:color w:val="000000"/>
          <w:sz w:val="28"/>
          <w:szCs w:val="28"/>
          <w:shd w:val="clear" w:color="auto" w:fill="FFFFFF"/>
        </w:rPr>
        <w:t xml:space="preserve">К предприятиям, стабильно работающим на территории района и характеризующимся устойчивыми темпами промышленного производства относятся: ООО «Байтекс» (нефтедобыча), МУП «КомХоз» (производство пара и горячей воды (тепловой энергии). Разработкой Буз-Башского месторождения с.п. Камышла (известняковый щебень) занимается АО «Клявлинский завод строительных материалов». </w:t>
      </w:r>
    </w:p>
    <w:p w:rsidR="00F51B81" w:rsidRPr="001F0139" w:rsidRDefault="00F51B81" w:rsidP="001F0139">
      <w:pPr>
        <w:spacing w:after="0" w:line="360" w:lineRule="auto"/>
        <w:ind w:firstLine="709"/>
        <w:jc w:val="both"/>
        <w:rPr>
          <w:rFonts w:ascii="Times New Roman" w:hAnsi="Times New Roman" w:cs="Times New Roman"/>
          <w:color w:val="000000"/>
          <w:sz w:val="28"/>
          <w:szCs w:val="28"/>
          <w:shd w:val="clear" w:color="auto" w:fill="FFFFFF"/>
        </w:rPr>
      </w:pPr>
      <w:r w:rsidRPr="001F0139">
        <w:rPr>
          <w:rFonts w:ascii="Times New Roman" w:hAnsi="Times New Roman" w:cs="Times New Roman"/>
          <w:color w:val="000000"/>
          <w:sz w:val="28"/>
          <w:szCs w:val="28"/>
          <w:shd w:val="clear" w:color="auto" w:fill="FFFFFF"/>
        </w:rPr>
        <w:t>За период с 2012 по 2016 гг. по показателям работы организаций Камышлинского района наблюдается нестабильная отрицательная динамика сальдированного финансового результата (рис. 1.5.2) (с 8,3 млн. руб. в 2012 г. до 1,5 млн. руб. в 2016 г. с наибольшим значением 11,4 млн. руб. в 2014 г.), что значительно ниже среднеобластных значений. Одновременно наблюдается увеличение доли убыточных предприятий в районе с 15% в 2013 г. до 28,6% в 2016 г.</w:t>
      </w:r>
    </w:p>
    <w:p w:rsidR="00F51B81" w:rsidRPr="001F0139" w:rsidRDefault="00F51B81" w:rsidP="001F0139">
      <w:pPr>
        <w:spacing w:after="0" w:line="240" w:lineRule="auto"/>
        <w:jc w:val="center"/>
        <w:rPr>
          <w:rFonts w:ascii="Times New Roman" w:hAnsi="Times New Roman" w:cs="Times New Roman"/>
          <w:noProof/>
          <w:sz w:val="28"/>
          <w:szCs w:val="28"/>
          <w:lang w:eastAsia="ru-RU"/>
        </w:rPr>
      </w:pPr>
      <w:r w:rsidRPr="001F0139">
        <w:rPr>
          <w:rFonts w:ascii="Times New Roman" w:hAnsi="Times New Roman" w:cs="Times New Roman"/>
          <w:noProof/>
          <w:sz w:val="28"/>
          <w:szCs w:val="28"/>
          <w:lang w:eastAsia="ru-RU"/>
        </w:rPr>
        <w:lastRenderedPageBreak/>
        <w:drawing>
          <wp:inline distT="0" distB="0" distL="0" distR="0">
            <wp:extent cx="5227955" cy="3041904"/>
            <wp:effectExtent l="6096" t="6096" r="8509" b="6350"/>
            <wp:docPr id="2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51B81" w:rsidRPr="001F0139" w:rsidRDefault="00F51B81"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sz w:val="20"/>
          <w:szCs w:val="20"/>
        </w:rPr>
        <w:t>Источник: Муниципальные районы Самарской области, 2017. Статистический сборник</w:t>
      </w:r>
    </w:p>
    <w:p w:rsidR="00F51B81" w:rsidRPr="001F0139" w:rsidRDefault="00F51B81" w:rsidP="001F0139">
      <w:pPr>
        <w:spacing w:after="0" w:line="240" w:lineRule="auto"/>
        <w:jc w:val="center"/>
        <w:rPr>
          <w:rFonts w:ascii="Times New Roman" w:hAnsi="Times New Roman" w:cs="Times New Roman"/>
          <w:sz w:val="28"/>
          <w:szCs w:val="28"/>
        </w:rPr>
      </w:pPr>
      <w:r w:rsidRPr="001F0139">
        <w:rPr>
          <w:rFonts w:ascii="Times New Roman" w:hAnsi="Times New Roman" w:cs="Times New Roman"/>
          <w:b/>
          <w:sz w:val="28"/>
          <w:szCs w:val="28"/>
        </w:rPr>
        <w:t>Рисунок 1.5.2 - Сальдированный финансовый результат по всем видам деятельности, млн. рублей</w:t>
      </w:r>
      <w:r w:rsidRPr="001F0139">
        <w:rPr>
          <w:rFonts w:ascii="Times New Roman" w:hAnsi="Times New Roman" w:cs="Times New Roman"/>
          <w:sz w:val="18"/>
        </w:rPr>
        <w:t xml:space="preserve"> </w:t>
      </w:r>
      <w:r w:rsidRPr="001F0139">
        <w:rPr>
          <w:rFonts w:ascii="Times New Roman" w:hAnsi="Times New Roman" w:cs="Times New Roman"/>
          <w:b/>
          <w:sz w:val="28"/>
          <w:szCs w:val="28"/>
        </w:rPr>
        <w:t>по Самарской области в 2012-2016 гг.</w:t>
      </w:r>
    </w:p>
    <w:p w:rsidR="00F51B81" w:rsidRPr="001F0139" w:rsidRDefault="00F51B81" w:rsidP="001F0139">
      <w:pPr>
        <w:spacing w:after="0" w:line="240" w:lineRule="auto"/>
        <w:jc w:val="center"/>
        <w:rPr>
          <w:rFonts w:ascii="Times New Roman" w:hAnsi="Times New Roman" w:cs="Times New Roman"/>
          <w:color w:val="000000"/>
          <w:sz w:val="28"/>
          <w:szCs w:val="28"/>
          <w:shd w:val="clear" w:color="auto" w:fill="FFFFFF"/>
        </w:rPr>
      </w:pP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Основные фонды крупных и средних предприятий Камышлинского района изношены. Значени</w:t>
      </w:r>
      <w:r w:rsidR="00E63FD6">
        <w:rPr>
          <w:rFonts w:ascii="Times New Roman" w:hAnsi="Times New Roman" w:cs="Times New Roman"/>
          <w:sz w:val="28"/>
          <w:szCs w:val="28"/>
        </w:rPr>
        <w:t>е</w:t>
      </w:r>
      <w:r w:rsidRPr="001F0139">
        <w:rPr>
          <w:rFonts w:ascii="Times New Roman" w:hAnsi="Times New Roman" w:cs="Times New Roman"/>
          <w:sz w:val="28"/>
          <w:szCs w:val="28"/>
        </w:rPr>
        <w:t xml:space="preserve"> показателя износа основных фондов коммерческих организаций в районе увеличил</w:t>
      </w:r>
      <w:r w:rsidR="00E63FD6">
        <w:rPr>
          <w:rFonts w:ascii="Times New Roman" w:hAnsi="Times New Roman" w:cs="Times New Roman"/>
          <w:sz w:val="28"/>
          <w:szCs w:val="28"/>
        </w:rPr>
        <w:t>ось</w:t>
      </w:r>
      <w:r w:rsidRPr="001F0139">
        <w:rPr>
          <w:rFonts w:ascii="Times New Roman" w:hAnsi="Times New Roman" w:cs="Times New Roman"/>
          <w:sz w:val="28"/>
          <w:szCs w:val="28"/>
        </w:rPr>
        <w:t xml:space="preserve"> с 38,4% в 2012 г. до 50,8% в 2016. Аналогичный показатель для некоммерческих организаций увеличился с 73,7% в 2012 г. до 86,5% в 2016 г. В последнем случае показатель значительно отстает от средних значений по области (53,3-57,6%). Коэффициент обновления основных фондов составляет по итогам 2015 г. 11,8% для коммерческих организаций и 0,9% для некоммерческих организаций. </w:t>
      </w:r>
    </w:p>
    <w:p w:rsidR="00F51B81" w:rsidRPr="001F0139" w:rsidRDefault="00F51B81" w:rsidP="001F0139">
      <w:pPr>
        <w:spacing w:after="0" w:line="360" w:lineRule="auto"/>
        <w:ind w:firstLine="709"/>
        <w:jc w:val="both"/>
        <w:rPr>
          <w:rFonts w:ascii="Times New Roman" w:hAnsi="Times New Roman" w:cs="Times New Roman"/>
          <w:color w:val="000000"/>
          <w:sz w:val="28"/>
          <w:szCs w:val="28"/>
          <w:shd w:val="clear" w:color="auto" w:fill="FFFFFF"/>
        </w:rPr>
      </w:pPr>
      <w:r w:rsidRPr="001F0139">
        <w:rPr>
          <w:rFonts w:ascii="Times New Roman" w:hAnsi="Times New Roman" w:cs="Times New Roman"/>
          <w:color w:val="000000"/>
          <w:sz w:val="28"/>
          <w:szCs w:val="28"/>
          <w:shd w:val="clear" w:color="auto" w:fill="FFFFFF"/>
        </w:rPr>
        <w:t xml:space="preserve">В Камышлинском районе развита добывающая промышленность: на территории района превалируют месторождения полезных ископаемых осадочного происхождения, являющихся сырьем для производства строительных материалов – разведаны месторождения бутового камня, галечника, красной глины для производства керамического кирпича, </w:t>
      </w:r>
      <w:hyperlink r:id="rId44" w:history="1">
        <w:r w:rsidRPr="001F0139">
          <w:rPr>
            <w:rFonts w:ascii="Times New Roman" w:hAnsi="Times New Roman" w:cs="Times New Roman"/>
            <w:color w:val="000000"/>
            <w:sz w:val="28"/>
            <w:szCs w:val="28"/>
            <w:shd w:val="clear" w:color="auto" w:fill="FFFFFF"/>
          </w:rPr>
          <w:t>голубой</w:t>
        </w:r>
      </w:hyperlink>
      <w:r w:rsidRPr="001F0139">
        <w:rPr>
          <w:rFonts w:ascii="Times New Roman" w:hAnsi="Times New Roman" w:cs="Times New Roman"/>
          <w:color w:val="000000"/>
          <w:sz w:val="28"/>
          <w:szCs w:val="28"/>
          <w:shd w:val="clear" w:color="auto" w:fill="FFFFFF"/>
        </w:rPr>
        <w:t xml:space="preserve"> и </w:t>
      </w:r>
      <w:hyperlink r:id="rId45" w:history="1">
        <w:r w:rsidRPr="001F0139">
          <w:rPr>
            <w:rFonts w:ascii="Times New Roman" w:hAnsi="Times New Roman" w:cs="Times New Roman"/>
            <w:color w:val="000000"/>
            <w:sz w:val="28"/>
            <w:szCs w:val="28"/>
            <w:shd w:val="clear" w:color="auto" w:fill="FFFFFF"/>
          </w:rPr>
          <w:t>зеленой</w:t>
        </w:r>
      </w:hyperlink>
      <w:r w:rsidRPr="001F0139">
        <w:rPr>
          <w:rFonts w:ascii="Times New Roman" w:hAnsi="Times New Roman" w:cs="Times New Roman"/>
          <w:color w:val="000000"/>
          <w:sz w:val="28"/>
          <w:szCs w:val="28"/>
          <w:shd w:val="clear" w:color="auto" w:fill="FFFFFF"/>
        </w:rPr>
        <w:t xml:space="preserve"> глины, горного песка; добывается горная масса для выработки алебастра, гипса, извести, щебня. В районе ведется добыча нефти. В структуре обрабатывающего производства преобладает обработка древесины и производство изделий из дерева. Одной из главных отраслей </w:t>
      </w:r>
      <w:r w:rsidRPr="001F0139">
        <w:rPr>
          <w:rFonts w:ascii="Times New Roman" w:hAnsi="Times New Roman" w:cs="Times New Roman"/>
          <w:color w:val="000000"/>
          <w:sz w:val="28"/>
          <w:szCs w:val="28"/>
          <w:shd w:val="clear" w:color="auto" w:fill="FFFFFF"/>
        </w:rPr>
        <w:lastRenderedPageBreak/>
        <w:t>промышленности в районе является производство и распределение электроэнергии, газа и воды.</w:t>
      </w: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К позитивным изменениям можно отнести тот факт, что по итогам 2017 г. объем отгруженной продукции товаров собственного производства увеличился более чем в 1,5 раза по сравнению с аналогичным показателем 2014 г. и составил 96,6 млн. рублей. </w:t>
      </w: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Сравнение динамики промышленного производства м.р. Камышлинский и Самарской области показывает, что тренд индекса промышленного производства в районе превосходит областную динамику за период с 2013 по 2016 гг. (рис.1.5.3).</w:t>
      </w:r>
    </w:p>
    <w:p w:rsidR="00F51B81" w:rsidRPr="001F0139" w:rsidRDefault="00F51B81" w:rsidP="001F0139">
      <w:pPr>
        <w:spacing w:after="0" w:line="240" w:lineRule="auto"/>
        <w:jc w:val="center"/>
        <w:rPr>
          <w:rFonts w:ascii="Times New Roman" w:hAnsi="Times New Roman" w:cs="Times New Roman"/>
          <w:color w:val="000000"/>
          <w:sz w:val="28"/>
          <w:szCs w:val="28"/>
          <w:shd w:val="clear" w:color="auto" w:fill="FFFFFF"/>
        </w:rPr>
      </w:pPr>
      <w:r w:rsidRPr="001F0139">
        <w:rPr>
          <w:rFonts w:ascii="Times New Roman" w:hAnsi="Times New Roman" w:cs="Times New Roman"/>
          <w:noProof/>
          <w:color w:val="000000"/>
          <w:sz w:val="28"/>
          <w:szCs w:val="28"/>
          <w:shd w:val="clear" w:color="auto" w:fill="FFFFFF"/>
          <w:lang w:eastAsia="ru-RU"/>
        </w:rPr>
        <w:drawing>
          <wp:inline distT="0" distB="0" distL="0" distR="0">
            <wp:extent cx="4929759" cy="3389122"/>
            <wp:effectExtent l="6096" t="6096" r="8255" b="6477"/>
            <wp:docPr id="2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51B81" w:rsidRPr="001F0139" w:rsidRDefault="00F51B81"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sz w:val="20"/>
          <w:szCs w:val="20"/>
        </w:rPr>
        <w:t>Источники: Самарский статистический ежегодник; Муниципальные районы Самарской области, 2017. Статистический сборник</w:t>
      </w:r>
    </w:p>
    <w:p w:rsidR="00F51B81" w:rsidRPr="001F0139" w:rsidRDefault="00F51B81" w:rsidP="001F0139">
      <w:pPr>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Рисунок 1.5.3 – Индексы промышленного производства</w:t>
      </w:r>
    </w:p>
    <w:p w:rsidR="00F51B81" w:rsidRPr="001F0139" w:rsidRDefault="00F51B81" w:rsidP="001F0139">
      <w:pPr>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в Камышлинском районе и в Самарской области в 2012-2016 гг.</w:t>
      </w:r>
    </w:p>
    <w:p w:rsidR="00F51B81" w:rsidRPr="001F0139" w:rsidRDefault="00F51B81" w:rsidP="001F0139">
      <w:pPr>
        <w:spacing w:after="0" w:line="240" w:lineRule="auto"/>
        <w:jc w:val="center"/>
        <w:rPr>
          <w:rFonts w:ascii="Times New Roman" w:hAnsi="Times New Roman" w:cs="Times New Roman"/>
          <w:sz w:val="28"/>
          <w:szCs w:val="28"/>
        </w:rPr>
      </w:pPr>
    </w:p>
    <w:p w:rsidR="00F51B81" w:rsidRPr="001F0139" w:rsidRDefault="00F51B81" w:rsidP="001F0139">
      <w:pPr>
        <w:spacing w:after="0" w:line="360" w:lineRule="auto"/>
        <w:ind w:firstLine="709"/>
        <w:jc w:val="both"/>
        <w:rPr>
          <w:rFonts w:ascii="Times New Roman" w:hAnsi="Times New Roman" w:cs="Times New Roman"/>
          <w:sz w:val="28"/>
          <w:szCs w:val="28"/>
          <w:shd w:val="clear" w:color="auto" w:fill="FFFFFF"/>
        </w:rPr>
      </w:pPr>
      <w:r w:rsidRPr="001F0139">
        <w:rPr>
          <w:rFonts w:ascii="Times New Roman" w:hAnsi="Times New Roman" w:cs="Times New Roman"/>
          <w:color w:val="000000"/>
          <w:sz w:val="28"/>
          <w:szCs w:val="28"/>
          <w:shd w:val="clear" w:color="auto" w:fill="FFFFFF"/>
        </w:rPr>
        <w:t xml:space="preserve">Отраслевая структура </w:t>
      </w:r>
      <w:r w:rsidR="007B0F60">
        <w:rPr>
          <w:rFonts w:ascii="Times New Roman" w:hAnsi="Times New Roman" w:cs="Times New Roman"/>
          <w:color w:val="000000"/>
          <w:sz w:val="28"/>
          <w:szCs w:val="28"/>
          <w:shd w:val="clear" w:color="auto" w:fill="FFFFFF"/>
        </w:rPr>
        <w:t xml:space="preserve">экономики </w:t>
      </w:r>
      <w:r w:rsidRPr="001F0139">
        <w:rPr>
          <w:rFonts w:ascii="Times New Roman" w:hAnsi="Times New Roman" w:cs="Times New Roman"/>
          <w:color w:val="000000"/>
          <w:sz w:val="28"/>
          <w:szCs w:val="28"/>
          <w:shd w:val="clear" w:color="auto" w:fill="FFFFFF"/>
        </w:rPr>
        <w:t xml:space="preserve">Камышлинского района представлена сельским хозяйством, промышленными предприятиями по переработке сельскохозяйственной продукции, строительством, транспортом и связью, торговлей и общественным питанием, отраслями непроизводственной сферы. Промышленность Камышлинского района занимает малую часть в отраслевой структуре занятости населения и характеризуется рядом проблем: </w:t>
      </w:r>
      <w:r w:rsidRPr="001F0139">
        <w:rPr>
          <w:rFonts w:ascii="Times New Roman" w:hAnsi="Times New Roman" w:cs="Times New Roman"/>
          <w:color w:val="000000"/>
          <w:sz w:val="28"/>
          <w:szCs w:val="28"/>
          <w:shd w:val="clear" w:color="auto" w:fill="FFFFFF"/>
        </w:rPr>
        <w:lastRenderedPageBreak/>
        <w:t xml:space="preserve">изношенность основных фондов, ассортимент производимой продукции беден; </w:t>
      </w:r>
      <w:r w:rsidRPr="001F0139">
        <w:rPr>
          <w:rFonts w:ascii="Times New Roman" w:hAnsi="Times New Roman" w:cs="Times New Roman"/>
          <w:sz w:val="28"/>
          <w:szCs w:val="28"/>
          <w:shd w:val="clear" w:color="auto" w:fill="FFFFFF"/>
        </w:rPr>
        <w:t xml:space="preserve">неустойчивость динамики промышленного производства; нестабильная отрицательная динамика сальдированного финансового результата. </w:t>
      </w:r>
    </w:p>
    <w:p w:rsidR="00F51B81" w:rsidRPr="001F0139" w:rsidRDefault="00F51B81" w:rsidP="001F0139">
      <w:pPr>
        <w:spacing w:after="0" w:line="360" w:lineRule="auto"/>
        <w:ind w:firstLine="709"/>
        <w:jc w:val="center"/>
        <w:rPr>
          <w:rFonts w:ascii="Times New Roman" w:hAnsi="Times New Roman" w:cs="Times New Roman"/>
          <w:b/>
          <w:sz w:val="20"/>
          <w:szCs w:val="20"/>
        </w:rPr>
      </w:pPr>
    </w:p>
    <w:p w:rsidR="00F51B81" w:rsidRPr="001F0139" w:rsidRDefault="00F51B81" w:rsidP="001F0139">
      <w:pPr>
        <w:spacing w:after="0" w:line="360" w:lineRule="auto"/>
        <w:contextualSpacing/>
        <w:outlineLvl w:val="2"/>
        <w:rPr>
          <w:rFonts w:ascii="Times New Roman" w:hAnsi="Times New Roman" w:cs="Times New Roman"/>
          <w:b/>
          <w:color w:val="365F91"/>
          <w:sz w:val="28"/>
          <w:szCs w:val="28"/>
        </w:rPr>
      </w:pPr>
      <w:bookmarkStart w:id="31" w:name="_Toc520894839"/>
      <w:r w:rsidRPr="001F0139">
        <w:rPr>
          <w:rFonts w:ascii="Times New Roman" w:hAnsi="Times New Roman" w:cs="Times New Roman"/>
          <w:b/>
          <w:color w:val="365F91"/>
          <w:sz w:val="28"/>
          <w:szCs w:val="28"/>
        </w:rPr>
        <w:t>Сельское хозяйство</w:t>
      </w:r>
      <w:bookmarkEnd w:id="31"/>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Экономика Камышлинского района имеет преимущественно сельскохозяйственную ориентацию.</w:t>
      </w:r>
      <w:r w:rsidRPr="001F0139">
        <w:rPr>
          <w:rFonts w:ascii="Times New Roman" w:hAnsi="Times New Roman" w:cs="Times New Roman"/>
          <w:color w:val="FF0000"/>
          <w:sz w:val="28"/>
          <w:szCs w:val="28"/>
        </w:rPr>
        <w:t xml:space="preserve"> </w:t>
      </w:r>
      <w:r w:rsidRPr="001F0139">
        <w:rPr>
          <w:rFonts w:ascii="Times New Roman" w:hAnsi="Times New Roman" w:cs="Times New Roman"/>
          <w:sz w:val="28"/>
          <w:szCs w:val="28"/>
        </w:rPr>
        <w:t>В рейтинге муниципальных районов Самарской области по показателям развития сельского хозяйства в 2013-2017гг. район показал стабильно низкие результаты по валовому сбору и урожайности зерновых и зернобобовых культур и по производству мяса. Немного выше рейтинг района по производству молока (рис.1.5.4).</w:t>
      </w:r>
    </w:p>
    <w:p w:rsidR="00F51B81" w:rsidRPr="001F0139" w:rsidRDefault="00F51B81" w:rsidP="001F0139">
      <w:pPr>
        <w:spacing w:after="0" w:line="360" w:lineRule="auto"/>
        <w:jc w:val="center"/>
        <w:rPr>
          <w:rFonts w:ascii="Times New Roman" w:hAnsi="Times New Roman" w:cs="Times New Roman"/>
          <w:sz w:val="28"/>
          <w:szCs w:val="28"/>
        </w:rPr>
      </w:pPr>
      <w:r w:rsidRPr="001F0139">
        <w:rPr>
          <w:rFonts w:ascii="Times New Roman" w:hAnsi="Times New Roman" w:cs="Times New Roman"/>
          <w:noProof/>
          <w:sz w:val="28"/>
          <w:szCs w:val="28"/>
          <w:lang w:eastAsia="ru-RU"/>
        </w:rPr>
        <w:drawing>
          <wp:inline distT="0" distB="0" distL="0" distR="0">
            <wp:extent cx="5643499" cy="2840736"/>
            <wp:effectExtent l="19050" t="0" r="14351" b="0"/>
            <wp:docPr id="29"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51B81" w:rsidRPr="001F0139" w:rsidRDefault="00F51B81" w:rsidP="001F0139">
      <w:pPr>
        <w:spacing w:after="0" w:line="240" w:lineRule="auto"/>
        <w:ind w:firstLine="426"/>
        <w:jc w:val="both"/>
        <w:rPr>
          <w:rFonts w:ascii="Times New Roman" w:hAnsi="Times New Roman" w:cs="Times New Roman"/>
          <w:sz w:val="20"/>
          <w:szCs w:val="20"/>
        </w:rPr>
      </w:pPr>
      <w:r w:rsidRPr="001F0139">
        <w:rPr>
          <w:rFonts w:ascii="Times New Roman" w:hAnsi="Times New Roman" w:cs="Times New Roman"/>
          <w:sz w:val="20"/>
          <w:szCs w:val="20"/>
        </w:rPr>
        <w:t xml:space="preserve">Источники: Рейтинг социально-экономического развития муниципальных образований Самарской области МЭРИТ – Режим доступа: </w:t>
      </w:r>
      <w:hyperlink r:id="rId48" w:history="1">
        <w:r w:rsidRPr="001F0139">
          <w:rPr>
            <w:rFonts w:ascii="Times New Roman" w:hAnsi="Times New Roman" w:cs="Times New Roman"/>
            <w:sz w:val="20"/>
            <w:szCs w:val="20"/>
          </w:rPr>
          <w:t>http://economy.samregion.ru/</w:t>
        </w:r>
      </w:hyperlink>
      <w:r w:rsidRPr="001F0139">
        <w:rPr>
          <w:rFonts w:ascii="Times New Roman" w:hAnsi="Times New Roman" w:cs="Times New Roman"/>
          <w:sz w:val="20"/>
          <w:szCs w:val="20"/>
        </w:rPr>
        <w:t>; аналитика ФГБОУ ВО «СГЭУ»</w:t>
      </w:r>
    </w:p>
    <w:p w:rsidR="00F51B81" w:rsidRPr="001F0139" w:rsidRDefault="00F51B81" w:rsidP="001F0139">
      <w:pPr>
        <w:spacing w:after="0" w:line="240" w:lineRule="auto"/>
        <w:ind w:firstLine="709"/>
        <w:jc w:val="center"/>
        <w:rPr>
          <w:rFonts w:ascii="Times New Roman" w:hAnsi="Times New Roman" w:cs="Times New Roman"/>
          <w:b/>
          <w:sz w:val="28"/>
          <w:szCs w:val="28"/>
        </w:rPr>
      </w:pPr>
      <w:r w:rsidRPr="001F0139">
        <w:rPr>
          <w:rFonts w:ascii="Times New Roman" w:hAnsi="Times New Roman" w:cs="Times New Roman"/>
          <w:b/>
          <w:sz w:val="28"/>
          <w:szCs w:val="28"/>
        </w:rPr>
        <w:t xml:space="preserve">Рисунок 1.5.4- Позиции Камышлинского района в рейтинге </w:t>
      </w:r>
    </w:p>
    <w:p w:rsidR="00F51B81" w:rsidRPr="001F0139" w:rsidRDefault="00F51B81" w:rsidP="001F0139">
      <w:pPr>
        <w:spacing w:after="0" w:line="240" w:lineRule="auto"/>
        <w:ind w:firstLine="709"/>
        <w:jc w:val="center"/>
        <w:rPr>
          <w:rFonts w:ascii="Times New Roman" w:hAnsi="Times New Roman" w:cs="Times New Roman"/>
          <w:b/>
          <w:sz w:val="28"/>
          <w:szCs w:val="28"/>
        </w:rPr>
      </w:pPr>
      <w:r w:rsidRPr="001F0139">
        <w:rPr>
          <w:rFonts w:ascii="Times New Roman" w:hAnsi="Times New Roman" w:cs="Times New Roman"/>
          <w:b/>
          <w:sz w:val="28"/>
          <w:szCs w:val="28"/>
        </w:rPr>
        <w:t>социально- экономического развития муниципальных районов Самарской области в 2014-2017 гг. по показателям</w:t>
      </w:r>
    </w:p>
    <w:p w:rsidR="00F51B81" w:rsidRPr="001F0139" w:rsidRDefault="00F51B81" w:rsidP="001F0139">
      <w:pPr>
        <w:spacing w:after="0" w:line="240" w:lineRule="auto"/>
        <w:ind w:firstLine="709"/>
        <w:jc w:val="center"/>
        <w:rPr>
          <w:rFonts w:ascii="Times New Roman" w:hAnsi="Times New Roman" w:cs="Times New Roman"/>
        </w:rPr>
      </w:pPr>
      <w:r w:rsidRPr="001F0139">
        <w:rPr>
          <w:rFonts w:ascii="Times New Roman" w:hAnsi="Times New Roman" w:cs="Times New Roman"/>
          <w:b/>
          <w:sz w:val="28"/>
          <w:szCs w:val="28"/>
        </w:rPr>
        <w:t xml:space="preserve"> сельскохозяйственного производства</w:t>
      </w:r>
    </w:p>
    <w:p w:rsidR="00F51B81" w:rsidRPr="001F0139" w:rsidRDefault="00F51B81" w:rsidP="001F0139">
      <w:pPr>
        <w:spacing w:after="0" w:line="240" w:lineRule="auto"/>
        <w:ind w:firstLine="709"/>
        <w:jc w:val="center"/>
        <w:rPr>
          <w:rFonts w:ascii="Times New Roman" w:hAnsi="Times New Roman" w:cs="Times New Roman"/>
          <w:sz w:val="28"/>
          <w:szCs w:val="28"/>
        </w:rPr>
      </w:pPr>
    </w:p>
    <w:p w:rsidR="00F51B81" w:rsidRPr="001F0139" w:rsidRDefault="00E0024D" w:rsidP="001F01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то же время, в</w:t>
      </w:r>
      <w:r w:rsidR="00F51B81" w:rsidRPr="001F0139">
        <w:rPr>
          <w:rFonts w:ascii="Times New Roman" w:hAnsi="Times New Roman" w:cs="Times New Roman"/>
          <w:sz w:val="28"/>
          <w:szCs w:val="28"/>
        </w:rPr>
        <w:t xml:space="preserve">аловая продукция сельского хозяйства имеет устойчивую тенденцию к росту (439,1 млн. руб. в 2012 г., 596,8 млн. руб. в 2016 г.). Индекс физического объема продукции сельского хозяйства во всех </w:t>
      </w:r>
      <w:r w:rsidR="00F51B81" w:rsidRPr="001F0139">
        <w:rPr>
          <w:rFonts w:ascii="Times New Roman" w:hAnsi="Times New Roman" w:cs="Times New Roman"/>
          <w:sz w:val="28"/>
          <w:szCs w:val="28"/>
        </w:rPr>
        <w:lastRenderedPageBreak/>
        <w:t>категориях хозяйств в целом соответствует областному индексу, а в 2016 г. опережает его (рис. 1.5.5).</w:t>
      </w:r>
    </w:p>
    <w:p w:rsidR="00F51B81" w:rsidRPr="001F0139" w:rsidRDefault="00F51B81" w:rsidP="001F0139">
      <w:pPr>
        <w:spacing w:after="0" w:line="240" w:lineRule="auto"/>
        <w:jc w:val="center"/>
        <w:rPr>
          <w:rFonts w:ascii="Times New Roman" w:hAnsi="Times New Roman" w:cs="Times New Roman"/>
          <w:sz w:val="28"/>
          <w:szCs w:val="28"/>
        </w:rPr>
      </w:pPr>
      <w:r w:rsidRPr="001F0139">
        <w:rPr>
          <w:rFonts w:ascii="Times New Roman" w:hAnsi="Times New Roman" w:cs="Times New Roman"/>
          <w:noProof/>
          <w:sz w:val="28"/>
          <w:szCs w:val="28"/>
          <w:lang w:eastAsia="ru-RU"/>
        </w:rPr>
        <w:drawing>
          <wp:inline distT="0" distB="0" distL="0" distR="0">
            <wp:extent cx="4459351" cy="3078480"/>
            <wp:effectExtent l="0" t="0" r="0" b="0"/>
            <wp:docPr id="30"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51B81" w:rsidRPr="001F0139" w:rsidRDefault="00F51B81"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sz w:val="20"/>
          <w:szCs w:val="20"/>
        </w:rPr>
        <w:t>Источники: ФСГС; Муниципальные районы Самарской области, 2017. Статистический сборник</w:t>
      </w:r>
    </w:p>
    <w:p w:rsidR="00F51B81" w:rsidRPr="001F0139" w:rsidRDefault="00F51B81" w:rsidP="001F0139">
      <w:pPr>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Рисунок 1.5.5 - Индекс физического объема продукции сельского</w:t>
      </w:r>
    </w:p>
    <w:p w:rsidR="00F51B81" w:rsidRPr="001F0139" w:rsidRDefault="00F51B81" w:rsidP="001F0139">
      <w:pPr>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хозяйства во всех категориях хозяйств в текущих ценах (%)</w:t>
      </w:r>
    </w:p>
    <w:p w:rsidR="00F51B81" w:rsidRPr="001F0139" w:rsidRDefault="00F51B81" w:rsidP="001F0139">
      <w:pPr>
        <w:spacing w:after="0" w:line="240" w:lineRule="auto"/>
        <w:jc w:val="center"/>
        <w:rPr>
          <w:rFonts w:ascii="Times New Roman" w:hAnsi="Times New Roman" w:cs="Times New Roman"/>
          <w:sz w:val="28"/>
          <w:szCs w:val="28"/>
        </w:rPr>
      </w:pPr>
      <w:r w:rsidRPr="001F0139">
        <w:rPr>
          <w:rFonts w:ascii="Times New Roman" w:hAnsi="Times New Roman" w:cs="Times New Roman"/>
          <w:b/>
          <w:sz w:val="28"/>
          <w:szCs w:val="28"/>
        </w:rPr>
        <w:t>в Камышлинском районе и в Самарской области в 2012-2016 гг.</w:t>
      </w:r>
    </w:p>
    <w:p w:rsidR="00F51B81" w:rsidRPr="001F0139" w:rsidRDefault="00F51B81" w:rsidP="001F0139">
      <w:pPr>
        <w:spacing w:after="0" w:line="240" w:lineRule="auto"/>
        <w:jc w:val="center"/>
        <w:rPr>
          <w:rFonts w:ascii="Times New Roman" w:hAnsi="Times New Roman" w:cs="Times New Roman"/>
          <w:sz w:val="28"/>
          <w:szCs w:val="28"/>
        </w:rPr>
      </w:pP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iCs/>
          <w:color w:val="000000"/>
          <w:sz w:val="28"/>
          <w:szCs w:val="28"/>
        </w:rPr>
        <w:t xml:space="preserve">В структуре </w:t>
      </w:r>
      <w:r w:rsidRPr="001F0139">
        <w:rPr>
          <w:rFonts w:ascii="Times New Roman" w:hAnsi="Times New Roman" w:cs="Times New Roman"/>
          <w:sz w:val="28"/>
          <w:szCs w:val="28"/>
        </w:rPr>
        <w:t xml:space="preserve">производства продукции сельского хозяйства во всех категориях хозяйств Камышлинского района преобладает растениеводческая специализация (рис. 1.5.6), доля продукции растениеводства увеличилась с 41,6% в 2012г. до 57,8% в 2016г. При этом, </w:t>
      </w:r>
      <w:r w:rsidR="003D68A9">
        <w:rPr>
          <w:rFonts w:ascii="Times New Roman" w:hAnsi="Times New Roman" w:cs="Times New Roman"/>
          <w:sz w:val="28"/>
          <w:szCs w:val="28"/>
        </w:rPr>
        <w:t>доля</w:t>
      </w:r>
      <w:r w:rsidRPr="001F0139">
        <w:rPr>
          <w:rFonts w:ascii="Times New Roman" w:hAnsi="Times New Roman" w:cs="Times New Roman"/>
          <w:sz w:val="28"/>
          <w:szCs w:val="28"/>
        </w:rPr>
        <w:t xml:space="preserve"> обрабатываемой пашни за 2012-201</w:t>
      </w:r>
      <w:r w:rsidR="003D68A9">
        <w:rPr>
          <w:rFonts w:ascii="Times New Roman" w:hAnsi="Times New Roman" w:cs="Times New Roman"/>
          <w:sz w:val="28"/>
          <w:szCs w:val="28"/>
        </w:rPr>
        <w:t>7</w:t>
      </w:r>
      <w:r w:rsidRPr="001F0139">
        <w:rPr>
          <w:rFonts w:ascii="Times New Roman" w:hAnsi="Times New Roman" w:cs="Times New Roman"/>
          <w:sz w:val="28"/>
          <w:szCs w:val="28"/>
        </w:rPr>
        <w:t xml:space="preserve"> гг. </w:t>
      </w:r>
      <w:r w:rsidR="003D68A9">
        <w:rPr>
          <w:rFonts w:ascii="Times New Roman" w:hAnsi="Times New Roman" w:cs="Times New Roman"/>
          <w:sz w:val="28"/>
          <w:szCs w:val="28"/>
        </w:rPr>
        <w:t>выросла</w:t>
      </w:r>
      <w:r w:rsidRPr="001F0139">
        <w:rPr>
          <w:rFonts w:ascii="Times New Roman" w:hAnsi="Times New Roman" w:cs="Times New Roman"/>
          <w:sz w:val="28"/>
          <w:szCs w:val="28"/>
        </w:rPr>
        <w:t xml:space="preserve"> </w:t>
      </w:r>
      <w:r w:rsidR="003D68A9">
        <w:rPr>
          <w:rFonts w:ascii="Times New Roman" w:hAnsi="Times New Roman" w:cs="Times New Roman"/>
          <w:sz w:val="28"/>
          <w:szCs w:val="28"/>
        </w:rPr>
        <w:t>с 4</w:t>
      </w:r>
      <w:r w:rsidR="000B3929">
        <w:rPr>
          <w:rFonts w:ascii="Times New Roman" w:hAnsi="Times New Roman" w:cs="Times New Roman"/>
          <w:sz w:val="28"/>
          <w:szCs w:val="28"/>
        </w:rPr>
        <w:t>8,6</w:t>
      </w:r>
      <w:r w:rsidR="003D68A9">
        <w:rPr>
          <w:rFonts w:ascii="Times New Roman" w:hAnsi="Times New Roman" w:cs="Times New Roman"/>
          <w:sz w:val="28"/>
          <w:szCs w:val="28"/>
        </w:rPr>
        <w:t>% до 77</w:t>
      </w:r>
      <w:r w:rsidR="000B3929">
        <w:rPr>
          <w:rFonts w:ascii="Times New Roman" w:hAnsi="Times New Roman" w:cs="Times New Roman"/>
          <w:sz w:val="28"/>
          <w:szCs w:val="28"/>
        </w:rPr>
        <w:t>,1</w:t>
      </w:r>
      <w:r w:rsidR="003D68A9">
        <w:rPr>
          <w:rFonts w:ascii="Times New Roman" w:hAnsi="Times New Roman" w:cs="Times New Roman"/>
          <w:sz w:val="28"/>
          <w:szCs w:val="28"/>
        </w:rPr>
        <w:t>% (26,3 тыс. га из</w:t>
      </w:r>
      <w:r w:rsidRPr="001F0139">
        <w:rPr>
          <w:rFonts w:ascii="Times New Roman" w:hAnsi="Times New Roman" w:cs="Times New Roman"/>
          <w:sz w:val="28"/>
          <w:szCs w:val="28"/>
        </w:rPr>
        <w:t xml:space="preserve"> 34,</w:t>
      </w:r>
      <w:r w:rsidR="000B3929">
        <w:rPr>
          <w:rFonts w:ascii="Times New Roman" w:hAnsi="Times New Roman" w:cs="Times New Roman"/>
          <w:sz w:val="28"/>
          <w:szCs w:val="28"/>
        </w:rPr>
        <w:t>09</w:t>
      </w:r>
      <w:r w:rsidRPr="001F0139">
        <w:rPr>
          <w:rFonts w:ascii="Times New Roman" w:hAnsi="Times New Roman" w:cs="Times New Roman"/>
          <w:sz w:val="28"/>
          <w:szCs w:val="28"/>
        </w:rPr>
        <w:t xml:space="preserve"> тыс. га</w:t>
      </w:r>
      <w:r w:rsidR="003D68A9">
        <w:rPr>
          <w:rFonts w:ascii="Times New Roman" w:hAnsi="Times New Roman" w:cs="Times New Roman"/>
          <w:sz w:val="28"/>
          <w:szCs w:val="28"/>
        </w:rPr>
        <w:t>)</w:t>
      </w:r>
      <w:r w:rsidRPr="001F0139">
        <w:rPr>
          <w:rFonts w:ascii="Times New Roman" w:hAnsi="Times New Roman" w:cs="Times New Roman"/>
          <w:sz w:val="28"/>
          <w:szCs w:val="28"/>
        </w:rPr>
        <w:t xml:space="preserve">, а </w:t>
      </w:r>
      <w:r w:rsidR="00C93B47">
        <w:rPr>
          <w:rFonts w:ascii="Times New Roman" w:hAnsi="Times New Roman" w:cs="Times New Roman"/>
          <w:sz w:val="28"/>
          <w:szCs w:val="28"/>
        </w:rPr>
        <w:t xml:space="preserve">общая </w:t>
      </w:r>
      <w:r w:rsidRPr="001F0139">
        <w:rPr>
          <w:rFonts w:ascii="Times New Roman" w:hAnsi="Times New Roman" w:cs="Times New Roman"/>
          <w:sz w:val="28"/>
          <w:szCs w:val="28"/>
        </w:rPr>
        <w:t>посевн</w:t>
      </w:r>
      <w:r w:rsidR="00530C24">
        <w:rPr>
          <w:rFonts w:ascii="Times New Roman" w:hAnsi="Times New Roman" w:cs="Times New Roman"/>
          <w:sz w:val="28"/>
          <w:szCs w:val="28"/>
        </w:rPr>
        <w:t>ая</w:t>
      </w:r>
      <w:r w:rsidRPr="001F0139">
        <w:rPr>
          <w:rFonts w:ascii="Times New Roman" w:hAnsi="Times New Roman" w:cs="Times New Roman"/>
          <w:sz w:val="28"/>
          <w:szCs w:val="28"/>
        </w:rPr>
        <w:t xml:space="preserve"> площад</w:t>
      </w:r>
      <w:r w:rsidR="00C93B47">
        <w:rPr>
          <w:rFonts w:ascii="Times New Roman" w:hAnsi="Times New Roman" w:cs="Times New Roman"/>
          <w:sz w:val="28"/>
          <w:szCs w:val="28"/>
        </w:rPr>
        <w:t>ь</w:t>
      </w:r>
      <w:r w:rsidRPr="001F0139">
        <w:rPr>
          <w:rFonts w:ascii="Times New Roman" w:hAnsi="Times New Roman" w:cs="Times New Roman"/>
          <w:sz w:val="28"/>
          <w:szCs w:val="28"/>
        </w:rPr>
        <w:t xml:space="preserve"> </w:t>
      </w:r>
      <w:r w:rsidR="00C93B47">
        <w:rPr>
          <w:rFonts w:ascii="Times New Roman" w:hAnsi="Times New Roman" w:cs="Times New Roman"/>
          <w:sz w:val="28"/>
          <w:szCs w:val="28"/>
        </w:rPr>
        <w:t xml:space="preserve">сельскохозяйственных культур </w:t>
      </w:r>
      <w:r w:rsidR="00530C24">
        <w:rPr>
          <w:rFonts w:ascii="Times New Roman" w:hAnsi="Times New Roman" w:cs="Times New Roman"/>
          <w:sz w:val="28"/>
          <w:szCs w:val="28"/>
        </w:rPr>
        <w:t>выросла</w:t>
      </w:r>
      <w:r w:rsidRPr="001F0139">
        <w:rPr>
          <w:rFonts w:ascii="Times New Roman" w:hAnsi="Times New Roman" w:cs="Times New Roman"/>
          <w:sz w:val="28"/>
          <w:szCs w:val="28"/>
        </w:rPr>
        <w:t xml:space="preserve"> с 15956 га в 2012 г. до </w:t>
      </w:r>
      <w:r w:rsidR="00530C24">
        <w:rPr>
          <w:rFonts w:ascii="Times New Roman" w:hAnsi="Times New Roman" w:cs="Times New Roman"/>
          <w:sz w:val="28"/>
          <w:szCs w:val="28"/>
        </w:rPr>
        <w:t>17703</w:t>
      </w:r>
      <w:r w:rsidRPr="001F0139">
        <w:rPr>
          <w:rFonts w:ascii="Times New Roman" w:hAnsi="Times New Roman" w:cs="Times New Roman"/>
          <w:sz w:val="28"/>
          <w:szCs w:val="28"/>
        </w:rPr>
        <w:t xml:space="preserve"> га в 201</w:t>
      </w:r>
      <w:r w:rsidR="00530C24">
        <w:rPr>
          <w:rFonts w:ascii="Times New Roman" w:hAnsi="Times New Roman" w:cs="Times New Roman"/>
          <w:sz w:val="28"/>
          <w:szCs w:val="28"/>
        </w:rPr>
        <w:t>7</w:t>
      </w:r>
      <w:r w:rsidRPr="001F0139">
        <w:rPr>
          <w:rFonts w:ascii="Times New Roman" w:hAnsi="Times New Roman" w:cs="Times New Roman"/>
          <w:sz w:val="28"/>
          <w:szCs w:val="28"/>
        </w:rPr>
        <w:t xml:space="preserve"> г. </w:t>
      </w:r>
      <w:r w:rsidR="00102CFF">
        <w:rPr>
          <w:rFonts w:ascii="Times New Roman" w:hAnsi="Times New Roman" w:cs="Times New Roman"/>
          <w:sz w:val="28"/>
          <w:szCs w:val="28"/>
        </w:rPr>
        <w:t>К</w:t>
      </w:r>
      <w:r w:rsidRPr="001F0139">
        <w:rPr>
          <w:rFonts w:ascii="Times New Roman" w:hAnsi="Times New Roman" w:cs="Times New Roman"/>
          <w:sz w:val="28"/>
          <w:szCs w:val="28"/>
        </w:rPr>
        <w:t>оличество внесенных минеральных удобрений на 1 га посевной площади увеличилось в 6,4 раза в 2016 г. по сравнению с 2012 г. Количество единиц техники в сельскохозяйственных предприятиях не изменилось или уменьшилось за рассматриваемый период</w:t>
      </w:r>
      <w:r w:rsidR="00A045B2">
        <w:rPr>
          <w:rFonts w:ascii="Times New Roman" w:hAnsi="Times New Roman" w:cs="Times New Roman"/>
          <w:sz w:val="28"/>
          <w:szCs w:val="28"/>
        </w:rPr>
        <w:t xml:space="preserve"> </w:t>
      </w:r>
      <w:r w:rsidR="00A045B2" w:rsidRPr="001F0139">
        <w:rPr>
          <w:rFonts w:ascii="Times New Roman" w:hAnsi="Times New Roman" w:cs="Times New Roman"/>
          <w:sz w:val="28"/>
          <w:szCs w:val="28"/>
        </w:rPr>
        <w:t>(</w:t>
      </w:r>
      <w:r w:rsidR="00A045B2">
        <w:rPr>
          <w:rFonts w:ascii="Times New Roman" w:hAnsi="Times New Roman" w:cs="Times New Roman"/>
          <w:sz w:val="28"/>
          <w:szCs w:val="28"/>
        </w:rPr>
        <w:t xml:space="preserve">в зависимости от вида техники: </w:t>
      </w:r>
      <w:r w:rsidR="00A045B2" w:rsidRPr="001F0139">
        <w:rPr>
          <w:rFonts w:ascii="Times New Roman" w:hAnsi="Times New Roman" w:cs="Times New Roman"/>
          <w:sz w:val="28"/>
          <w:szCs w:val="28"/>
        </w:rPr>
        <w:t>тракторы, комбайны, плуги, культиваторы и др.)</w:t>
      </w:r>
      <w:r w:rsidRPr="001F0139">
        <w:rPr>
          <w:rFonts w:ascii="Times New Roman" w:hAnsi="Times New Roman" w:cs="Times New Roman"/>
          <w:sz w:val="28"/>
          <w:szCs w:val="28"/>
        </w:rPr>
        <w:t xml:space="preserve">. </w:t>
      </w:r>
    </w:p>
    <w:p w:rsidR="00F51B81" w:rsidRPr="001F0139" w:rsidRDefault="00F51B81" w:rsidP="001F0139">
      <w:pPr>
        <w:spacing w:after="0" w:line="240" w:lineRule="auto"/>
        <w:jc w:val="center"/>
        <w:rPr>
          <w:rFonts w:ascii="Times New Roman" w:hAnsi="Times New Roman" w:cs="Times New Roman"/>
          <w:sz w:val="28"/>
          <w:szCs w:val="28"/>
        </w:rPr>
      </w:pPr>
      <w:r w:rsidRPr="001F0139">
        <w:rPr>
          <w:rFonts w:ascii="Times New Roman" w:hAnsi="Times New Roman" w:cs="Times New Roman"/>
          <w:noProof/>
          <w:color w:val="FF0000"/>
          <w:sz w:val="28"/>
          <w:szCs w:val="28"/>
          <w:lang w:eastAsia="ru-RU"/>
        </w:rPr>
        <w:lastRenderedPageBreak/>
        <w:drawing>
          <wp:inline distT="0" distB="0" distL="0" distR="0">
            <wp:extent cx="5474208" cy="2676144"/>
            <wp:effectExtent l="0" t="0" r="0" b="0"/>
            <wp:docPr id="31"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51B81" w:rsidRPr="001F0139" w:rsidRDefault="00F51B81"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sz w:val="20"/>
          <w:szCs w:val="20"/>
        </w:rPr>
        <w:t>Источники: Муниципальные районы Самарской области, 2017. Статистический сборник</w:t>
      </w:r>
    </w:p>
    <w:p w:rsidR="00F51B81" w:rsidRPr="001F0139" w:rsidRDefault="00F51B81" w:rsidP="001F0139">
      <w:pPr>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Рисунок 1.5.6 - Продукция сельского хозяйства во всех категориях</w:t>
      </w:r>
    </w:p>
    <w:p w:rsidR="00F51B81" w:rsidRPr="001F0139" w:rsidRDefault="00F51B81" w:rsidP="001F0139">
      <w:pPr>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хозяйств Камышлинского района в 2012-2016 гг.</w:t>
      </w:r>
    </w:p>
    <w:p w:rsidR="00F51B81" w:rsidRPr="001F0139" w:rsidRDefault="00F51B81" w:rsidP="001F0139">
      <w:pPr>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(в фактически действующих ценах, млн. руб.)</w:t>
      </w:r>
    </w:p>
    <w:p w:rsidR="00F51B81" w:rsidRPr="001F0139" w:rsidRDefault="00F51B81" w:rsidP="001F0139">
      <w:pPr>
        <w:spacing w:after="0" w:line="240" w:lineRule="auto"/>
        <w:jc w:val="both"/>
        <w:rPr>
          <w:rFonts w:ascii="Times New Roman" w:hAnsi="Times New Roman" w:cs="Times New Roman"/>
          <w:sz w:val="28"/>
          <w:szCs w:val="28"/>
        </w:rPr>
      </w:pP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Основными продуктами растениеводства в Камышлинском районе являются зерновые культуры, подсолнечник и картофель (табл. 1.5.1). Основные производители данных растениеводческих культур - крестьянские (фермерские) хозяйства района. Производство зерновых культур увеличилось за рассматриваемый период в 2 раза, подсолнечника – в 1,4 раза, производство картофеля и других овощей снизилось. </w:t>
      </w:r>
    </w:p>
    <w:p w:rsidR="00F51B81" w:rsidRPr="001F0139" w:rsidRDefault="00F51B81" w:rsidP="001F0139">
      <w:pPr>
        <w:spacing w:after="0" w:line="240" w:lineRule="auto"/>
        <w:rPr>
          <w:rFonts w:ascii="Times New Roman" w:hAnsi="Times New Roman" w:cs="Times New Roman"/>
          <w:b/>
          <w:color w:val="000000"/>
          <w:sz w:val="28"/>
          <w:szCs w:val="28"/>
          <w:shd w:val="clear" w:color="auto" w:fill="FFFFFF"/>
        </w:rPr>
      </w:pPr>
      <w:r w:rsidRPr="001F0139">
        <w:rPr>
          <w:rFonts w:ascii="Times New Roman" w:hAnsi="Times New Roman" w:cs="Times New Roman"/>
          <w:b/>
          <w:color w:val="000000"/>
          <w:sz w:val="28"/>
          <w:szCs w:val="28"/>
          <w:shd w:val="clear" w:color="auto" w:fill="FFFFFF"/>
        </w:rPr>
        <w:t xml:space="preserve">Таблица 1.5.1 - Производство основных продуктов растениеводства </w:t>
      </w:r>
    </w:p>
    <w:p w:rsidR="00F51B81" w:rsidRPr="001F0139" w:rsidRDefault="002760F1" w:rsidP="001F0139">
      <w:pPr>
        <w:spacing w:after="0"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F51B81" w:rsidRPr="001F0139">
        <w:rPr>
          <w:rFonts w:ascii="Times New Roman" w:hAnsi="Times New Roman" w:cs="Times New Roman"/>
          <w:b/>
          <w:color w:val="000000"/>
          <w:sz w:val="28"/>
          <w:szCs w:val="28"/>
          <w:shd w:val="clear" w:color="auto" w:fill="FFFFFF"/>
        </w:rPr>
        <w:t xml:space="preserve"> Камышлинского района в 2012-2016 гг. (тонн)</w:t>
      </w:r>
    </w:p>
    <w:tbl>
      <w:tblPr>
        <w:tblW w:w="9560" w:type="dxa"/>
        <w:tblInd w:w="93" w:type="dxa"/>
        <w:tblLook w:val="04A0" w:firstRow="1" w:lastRow="0" w:firstColumn="1" w:lastColumn="0" w:noHBand="0" w:noVBand="1"/>
      </w:tblPr>
      <w:tblGrid>
        <w:gridCol w:w="4760"/>
        <w:gridCol w:w="960"/>
        <w:gridCol w:w="960"/>
        <w:gridCol w:w="960"/>
        <w:gridCol w:w="960"/>
        <w:gridCol w:w="960"/>
      </w:tblGrid>
      <w:tr w:rsidR="00F51B81" w:rsidRPr="001F0139" w:rsidTr="002760F1">
        <w:trPr>
          <w:trHeight w:val="315"/>
        </w:trPr>
        <w:tc>
          <w:tcPr>
            <w:tcW w:w="4760" w:type="dxa"/>
            <w:vMerge w:val="restart"/>
            <w:tcBorders>
              <w:top w:val="single" w:sz="8" w:space="0" w:color="000000"/>
              <w:left w:val="single" w:sz="8" w:space="0" w:color="000000"/>
              <w:bottom w:val="single" w:sz="4" w:space="0" w:color="000000"/>
              <w:right w:val="single" w:sz="4" w:space="0" w:color="000000"/>
            </w:tcBorders>
            <w:shd w:val="clear" w:color="auto" w:fill="1F497D"/>
            <w:vAlign w:val="center"/>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Наименование показателей</w:t>
            </w:r>
          </w:p>
        </w:tc>
        <w:tc>
          <w:tcPr>
            <w:tcW w:w="4800" w:type="dxa"/>
            <w:gridSpan w:val="5"/>
            <w:tcBorders>
              <w:top w:val="single" w:sz="8" w:space="0" w:color="000000"/>
              <w:left w:val="nil"/>
              <w:bottom w:val="single" w:sz="4" w:space="0" w:color="000000"/>
              <w:right w:val="single" w:sz="4" w:space="0" w:color="000000"/>
            </w:tcBorders>
            <w:shd w:val="clear" w:color="auto" w:fill="1F497D"/>
            <w:vAlign w:val="center"/>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Годы</w:t>
            </w:r>
          </w:p>
        </w:tc>
      </w:tr>
      <w:tr w:rsidR="00F51B81" w:rsidRPr="001F0139" w:rsidTr="002760F1">
        <w:trPr>
          <w:trHeight w:val="345"/>
        </w:trPr>
        <w:tc>
          <w:tcPr>
            <w:tcW w:w="0" w:type="auto"/>
            <w:vMerge/>
            <w:tcBorders>
              <w:top w:val="single" w:sz="8" w:space="0" w:color="000000"/>
              <w:left w:val="single" w:sz="8" w:space="0" w:color="000000"/>
              <w:bottom w:val="single" w:sz="4" w:space="0" w:color="000000"/>
              <w:right w:val="single" w:sz="4" w:space="0" w:color="000000"/>
            </w:tcBorders>
            <w:vAlign w:val="center"/>
            <w:hideMark/>
          </w:tcPr>
          <w:p w:rsidR="00F51B81" w:rsidRPr="001F0139" w:rsidRDefault="00F51B81" w:rsidP="001F0139">
            <w:pPr>
              <w:spacing w:after="0" w:line="240" w:lineRule="auto"/>
              <w:rPr>
                <w:rFonts w:ascii="Times New Roman" w:eastAsia="Times New Roman" w:hAnsi="Times New Roman" w:cs="Times New Roman"/>
                <w:b/>
                <w:bCs/>
                <w:color w:val="FFFFFF"/>
                <w:sz w:val="24"/>
                <w:szCs w:val="24"/>
                <w:lang w:eastAsia="ru-RU"/>
              </w:rPr>
            </w:pPr>
          </w:p>
        </w:tc>
        <w:tc>
          <w:tcPr>
            <w:tcW w:w="960" w:type="dxa"/>
            <w:tcBorders>
              <w:top w:val="nil"/>
              <w:left w:val="nil"/>
              <w:bottom w:val="single" w:sz="4" w:space="0" w:color="000000"/>
              <w:right w:val="single" w:sz="4" w:space="0" w:color="000000"/>
            </w:tcBorders>
            <w:shd w:val="clear" w:color="auto" w:fill="1F497D"/>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2012</w:t>
            </w:r>
          </w:p>
        </w:tc>
        <w:tc>
          <w:tcPr>
            <w:tcW w:w="960" w:type="dxa"/>
            <w:tcBorders>
              <w:top w:val="nil"/>
              <w:left w:val="nil"/>
              <w:bottom w:val="single" w:sz="4" w:space="0" w:color="000000"/>
              <w:right w:val="single" w:sz="4" w:space="0" w:color="000000"/>
            </w:tcBorders>
            <w:shd w:val="clear" w:color="auto" w:fill="1F497D"/>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2013</w:t>
            </w:r>
          </w:p>
        </w:tc>
        <w:tc>
          <w:tcPr>
            <w:tcW w:w="960" w:type="dxa"/>
            <w:tcBorders>
              <w:top w:val="nil"/>
              <w:left w:val="nil"/>
              <w:bottom w:val="single" w:sz="4" w:space="0" w:color="000000"/>
              <w:right w:val="single" w:sz="4" w:space="0" w:color="000000"/>
            </w:tcBorders>
            <w:shd w:val="clear" w:color="auto" w:fill="1F497D"/>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2014</w:t>
            </w:r>
          </w:p>
        </w:tc>
        <w:tc>
          <w:tcPr>
            <w:tcW w:w="960" w:type="dxa"/>
            <w:tcBorders>
              <w:top w:val="nil"/>
              <w:left w:val="nil"/>
              <w:bottom w:val="single" w:sz="4" w:space="0" w:color="000000"/>
              <w:right w:val="single" w:sz="4" w:space="0" w:color="000000"/>
            </w:tcBorders>
            <w:shd w:val="clear" w:color="auto" w:fill="1F497D"/>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2015</w:t>
            </w:r>
          </w:p>
        </w:tc>
        <w:tc>
          <w:tcPr>
            <w:tcW w:w="960" w:type="dxa"/>
            <w:tcBorders>
              <w:top w:val="nil"/>
              <w:left w:val="nil"/>
              <w:bottom w:val="single" w:sz="4" w:space="0" w:color="000000"/>
              <w:right w:val="single" w:sz="4" w:space="0" w:color="000000"/>
            </w:tcBorders>
            <w:shd w:val="clear" w:color="auto" w:fill="1F497D"/>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2016</w:t>
            </w:r>
          </w:p>
        </w:tc>
      </w:tr>
      <w:tr w:rsidR="00F51B81" w:rsidRPr="001F0139" w:rsidTr="002760F1">
        <w:trPr>
          <w:trHeight w:val="489"/>
        </w:trPr>
        <w:tc>
          <w:tcPr>
            <w:tcW w:w="476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rPr>
                <w:rFonts w:ascii="Times New Roman" w:eastAsia="Times New Roman" w:hAnsi="Times New Roman" w:cs="Times New Roman"/>
                <w:i/>
                <w:iCs/>
                <w:color w:val="000000"/>
                <w:sz w:val="24"/>
                <w:szCs w:val="24"/>
                <w:lang w:eastAsia="ru-RU"/>
              </w:rPr>
            </w:pPr>
            <w:r w:rsidRPr="001F0139">
              <w:rPr>
                <w:rFonts w:ascii="Times New Roman" w:eastAsia="Times New Roman" w:hAnsi="Times New Roman" w:cs="Times New Roman"/>
                <w:i/>
                <w:iCs/>
                <w:color w:val="000000"/>
                <w:sz w:val="24"/>
                <w:szCs w:val="24"/>
                <w:lang w:eastAsia="ru-RU"/>
              </w:rPr>
              <w:t xml:space="preserve">Зерновые культуры </w:t>
            </w:r>
            <w:r w:rsidRPr="001F0139">
              <w:rPr>
                <w:rFonts w:ascii="Times New Roman" w:eastAsia="Times New Roman" w:hAnsi="Times New Roman" w:cs="Times New Roman"/>
                <w:color w:val="000000"/>
                <w:sz w:val="24"/>
                <w:szCs w:val="24"/>
                <w:lang w:eastAsia="ru-RU"/>
              </w:rPr>
              <w:t>(в весе после доработки) - всего</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6480</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10550</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13816</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11332</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13641</w:t>
            </w:r>
          </w:p>
        </w:tc>
      </w:tr>
      <w:tr w:rsidR="00F51B81" w:rsidRPr="001F013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в т.ч. сельскохозяйственные предприятия</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2404</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3703</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3978</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3391</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4900</w:t>
            </w:r>
          </w:p>
        </w:tc>
      </w:tr>
      <w:tr w:rsidR="00F51B81" w:rsidRPr="001F013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крестьянские (фермерские) хозяйства</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4076</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6847</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9838</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7940</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8741</w:t>
            </w:r>
          </w:p>
        </w:tc>
      </w:tr>
      <w:tr w:rsidR="00F51B81" w:rsidRPr="001F013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rPr>
                <w:rFonts w:ascii="Times New Roman" w:eastAsia="Times New Roman" w:hAnsi="Times New Roman" w:cs="Times New Roman"/>
                <w:i/>
                <w:iCs/>
                <w:color w:val="000000"/>
                <w:sz w:val="24"/>
                <w:szCs w:val="24"/>
                <w:lang w:eastAsia="ru-RU"/>
              </w:rPr>
            </w:pPr>
            <w:r w:rsidRPr="001F0139">
              <w:rPr>
                <w:rFonts w:ascii="Times New Roman" w:eastAsia="Times New Roman" w:hAnsi="Times New Roman" w:cs="Times New Roman"/>
                <w:i/>
                <w:iCs/>
                <w:color w:val="000000"/>
                <w:sz w:val="24"/>
                <w:szCs w:val="24"/>
                <w:lang w:eastAsia="ru-RU"/>
              </w:rPr>
              <w:t xml:space="preserve">Подсолнечник </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1814</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5540</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2075</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2209</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2620</w:t>
            </w:r>
          </w:p>
        </w:tc>
      </w:tr>
      <w:tr w:rsidR="00F51B81" w:rsidRPr="001F013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jc w:val="center"/>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в т.ч. сельскохозяйственные предприятия</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806</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3355</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518</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 </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497</w:t>
            </w:r>
          </w:p>
        </w:tc>
      </w:tr>
      <w:tr w:rsidR="00F51B81" w:rsidRPr="001F013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jc w:val="center"/>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крестьянские (фермерские) хозяйства</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1008</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2185</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1557</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2209</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2123</w:t>
            </w:r>
          </w:p>
        </w:tc>
      </w:tr>
      <w:tr w:rsidR="00F51B81" w:rsidRPr="001F013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rPr>
                <w:rFonts w:ascii="Times New Roman" w:eastAsia="Times New Roman" w:hAnsi="Times New Roman" w:cs="Times New Roman"/>
                <w:i/>
                <w:iCs/>
                <w:color w:val="000000"/>
                <w:sz w:val="24"/>
                <w:szCs w:val="24"/>
                <w:lang w:eastAsia="ru-RU"/>
              </w:rPr>
            </w:pPr>
            <w:r w:rsidRPr="001F0139">
              <w:rPr>
                <w:rFonts w:ascii="Times New Roman" w:eastAsia="Times New Roman" w:hAnsi="Times New Roman" w:cs="Times New Roman"/>
                <w:i/>
                <w:iCs/>
                <w:color w:val="000000"/>
                <w:sz w:val="24"/>
                <w:szCs w:val="24"/>
                <w:lang w:eastAsia="ru-RU"/>
              </w:rPr>
              <w:t xml:space="preserve">Картофель </w:t>
            </w:r>
            <w:r w:rsidRPr="001F0139">
              <w:rPr>
                <w:rFonts w:ascii="Times New Roman" w:eastAsia="Times New Roman" w:hAnsi="Times New Roman" w:cs="Times New Roman"/>
                <w:color w:val="000000"/>
                <w:sz w:val="24"/>
                <w:szCs w:val="24"/>
                <w:lang w:eastAsia="ru-RU"/>
              </w:rPr>
              <w:t>во всех категориях хозяйств</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4817</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4482</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4682</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4463</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4309</w:t>
            </w:r>
          </w:p>
        </w:tc>
      </w:tr>
      <w:tr w:rsidR="00F51B81" w:rsidRPr="001F013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jc w:val="center"/>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личные подсобные хозяйства населения</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4817</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4482</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4682</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4433</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4309</w:t>
            </w:r>
          </w:p>
        </w:tc>
      </w:tr>
      <w:tr w:rsidR="00F51B81" w:rsidRPr="001F013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jc w:val="center"/>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крестьянские (фермерские) хозяйства</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 </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 </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 </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30</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0</w:t>
            </w:r>
          </w:p>
        </w:tc>
      </w:tr>
      <w:tr w:rsidR="00F51B81" w:rsidRPr="001F013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rPr>
                <w:rFonts w:ascii="Times New Roman" w:eastAsia="Times New Roman" w:hAnsi="Times New Roman" w:cs="Times New Roman"/>
                <w:i/>
                <w:iCs/>
                <w:color w:val="000000"/>
                <w:sz w:val="24"/>
                <w:szCs w:val="24"/>
                <w:lang w:eastAsia="ru-RU"/>
              </w:rPr>
            </w:pPr>
            <w:r w:rsidRPr="001F0139">
              <w:rPr>
                <w:rFonts w:ascii="Times New Roman" w:eastAsia="Times New Roman" w:hAnsi="Times New Roman" w:cs="Times New Roman"/>
                <w:i/>
                <w:iCs/>
                <w:color w:val="000000"/>
                <w:sz w:val="24"/>
                <w:szCs w:val="24"/>
                <w:lang w:eastAsia="ru-RU"/>
              </w:rPr>
              <w:t xml:space="preserve">Овощи </w:t>
            </w:r>
            <w:r w:rsidRPr="001F0139">
              <w:rPr>
                <w:rFonts w:ascii="Times New Roman" w:eastAsia="Times New Roman" w:hAnsi="Times New Roman" w:cs="Times New Roman"/>
                <w:color w:val="000000"/>
                <w:sz w:val="24"/>
                <w:szCs w:val="24"/>
                <w:lang w:eastAsia="ru-RU"/>
              </w:rPr>
              <w:t>во всех категориях хозяйств</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1495</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1332</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1348</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1304</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1249</w:t>
            </w:r>
          </w:p>
        </w:tc>
      </w:tr>
      <w:tr w:rsidR="00F51B81" w:rsidRPr="001F013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jc w:val="center"/>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личные подсобные хозяйства населения</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1495</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1332</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1348</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1304</w:t>
            </w:r>
          </w:p>
        </w:tc>
        <w:tc>
          <w:tcPr>
            <w:tcW w:w="960" w:type="dxa"/>
            <w:tcBorders>
              <w:top w:val="nil"/>
              <w:left w:val="nil"/>
              <w:bottom w:val="single" w:sz="4" w:space="0" w:color="000000"/>
              <w:right w:val="single" w:sz="4" w:space="0" w:color="000000"/>
            </w:tcBorders>
            <w:noWrap/>
            <w:vAlign w:val="bottom"/>
            <w:hideMark/>
          </w:tcPr>
          <w:p w:rsidR="00F51B81" w:rsidRPr="001F013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1F0139">
              <w:rPr>
                <w:rFonts w:ascii="Times New Roman" w:eastAsia="Times New Roman" w:hAnsi="Times New Roman" w:cs="Times New Roman"/>
                <w:iCs/>
                <w:color w:val="000000"/>
                <w:sz w:val="24"/>
                <w:szCs w:val="24"/>
                <w:lang w:eastAsia="ru-RU"/>
              </w:rPr>
              <w:t>1249</w:t>
            </w:r>
          </w:p>
        </w:tc>
      </w:tr>
    </w:tbl>
    <w:p w:rsidR="00F51B81" w:rsidRPr="001F0139" w:rsidRDefault="00F51B81" w:rsidP="001F0139">
      <w:pPr>
        <w:spacing w:after="0" w:line="240" w:lineRule="auto"/>
        <w:ind w:firstLine="426"/>
        <w:jc w:val="both"/>
        <w:rPr>
          <w:rFonts w:ascii="Times New Roman" w:hAnsi="Times New Roman" w:cs="Times New Roman"/>
          <w:sz w:val="20"/>
          <w:szCs w:val="20"/>
        </w:rPr>
      </w:pPr>
      <w:r w:rsidRPr="001F0139">
        <w:rPr>
          <w:rFonts w:ascii="Times New Roman" w:hAnsi="Times New Roman" w:cs="Times New Roman"/>
          <w:sz w:val="20"/>
          <w:szCs w:val="20"/>
        </w:rPr>
        <w:t>Источник: Паспорт социально-экономического развития Камышлинского района, форма № 5</w:t>
      </w: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Положительная динамика наблюдается по урожайности зерновых и зернобобовых культур, подсолнечника и картофеля. Урожайность овощей в районе за рассматриваемый период уменьшилась (табл.1.5.2).</w:t>
      </w:r>
    </w:p>
    <w:p w:rsidR="00F51B81" w:rsidRPr="001F0139" w:rsidRDefault="00F51B81" w:rsidP="001F0139">
      <w:pPr>
        <w:spacing w:after="0" w:line="240" w:lineRule="auto"/>
        <w:jc w:val="both"/>
        <w:rPr>
          <w:rFonts w:ascii="Times New Roman" w:hAnsi="Times New Roman" w:cs="Times New Roman"/>
          <w:b/>
          <w:color w:val="000000"/>
          <w:sz w:val="28"/>
          <w:szCs w:val="28"/>
          <w:shd w:val="clear" w:color="auto" w:fill="FFFFFF"/>
        </w:rPr>
      </w:pPr>
      <w:r w:rsidRPr="001F0139">
        <w:rPr>
          <w:rFonts w:ascii="Times New Roman" w:hAnsi="Times New Roman" w:cs="Times New Roman"/>
          <w:b/>
          <w:color w:val="000000"/>
          <w:sz w:val="28"/>
          <w:szCs w:val="28"/>
          <w:shd w:val="clear" w:color="auto" w:fill="FFFFFF"/>
        </w:rPr>
        <w:t xml:space="preserve">Таблица 1.5.2 – Урожайность сельскохозяйственных культур </w:t>
      </w:r>
    </w:p>
    <w:p w:rsidR="00F51B81" w:rsidRPr="001F0139" w:rsidRDefault="00F51B81" w:rsidP="001F0139">
      <w:pPr>
        <w:spacing w:after="0" w:line="240" w:lineRule="auto"/>
        <w:jc w:val="both"/>
        <w:rPr>
          <w:rFonts w:ascii="Times New Roman" w:hAnsi="Times New Roman" w:cs="Times New Roman"/>
          <w:b/>
          <w:color w:val="000000"/>
          <w:sz w:val="28"/>
          <w:szCs w:val="28"/>
          <w:shd w:val="clear" w:color="auto" w:fill="FFFFFF"/>
        </w:rPr>
      </w:pPr>
      <w:r w:rsidRPr="001F0139">
        <w:rPr>
          <w:rFonts w:ascii="Times New Roman" w:hAnsi="Times New Roman" w:cs="Times New Roman"/>
          <w:b/>
          <w:color w:val="000000"/>
          <w:sz w:val="28"/>
          <w:szCs w:val="28"/>
          <w:shd w:val="clear" w:color="auto" w:fill="FFFFFF"/>
        </w:rPr>
        <w:t>Камышлинского района в 2012-2016 гг., ц/га</w:t>
      </w:r>
    </w:p>
    <w:tbl>
      <w:tblPr>
        <w:tblW w:w="9359" w:type="dxa"/>
        <w:jc w:val="center"/>
        <w:tblInd w:w="93" w:type="dxa"/>
        <w:tblLook w:val="04A0" w:firstRow="1" w:lastRow="0" w:firstColumn="1" w:lastColumn="0" w:noHBand="0" w:noVBand="1"/>
      </w:tblPr>
      <w:tblGrid>
        <w:gridCol w:w="4925"/>
        <w:gridCol w:w="992"/>
        <w:gridCol w:w="993"/>
        <w:gridCol w:w="850"/>
        <w:gridCol w:w="851"/>
        <w:gridCol w:w="748"/>
      </w:tblGrid>
      <w:tr w:rsidR="00F51B81" w:rsidRPr="001F0139" w:rsidTr="002760F1">
        <w:trPr>
          <w:trHeight w:val="300"/>
          <w:jc w:val="center"/>
        </w:trPr>
        <w:tc>
          <w:tcPr>
            <w:tcW w:w="4925" w:type="dxa"/>
            <w:tcBorders>
              <w:top w:val="single" w:sz="4" w:space="0" w:color="auto"/>
              <w:left w:val="single" w:sz="4" w:space="0" w:color="auto"/>
              <w:bottom w:val="single" w:sz="4" w:space="0" w:color="auto"/>
              <w:right w:val="single" w:sz="4" w:space="0" w:color="auto"/>
            </w:tcBorders>
            <w:shd w:val="clear" w:color="auto" w:fill="1F497D"/>
            <w:vAlign w:val="bottom"/>
            <w:hideMark/>
          </w:tcPr>
          <w:p w:rsidR="00F51B81" w:rsidRPr="001F0139" w:rsidRDefault="00F51B81" w:rsidP="001F0139">
            <w:pPr>
              <w:spacing w:after="0" w:line="240" w:lineRule="auto"/>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Сельскохозяйственная культура </w:t>
            </w:r>
          </w:p>
        </w:tc>
        <w:tc>
          <w:tcPr>
            <w:tcW w:w="992" w:type="dxa"/>
            <w:tcBorders>
              <w:top w:val="single" w:sz="4" w:space="0" w:color="auto"/>
              <w:left w:val="nil"/>
              <w:bottom w:val="single" w:sz="4" w:space="0" w:color="auto"/>
              <w:right w:val="single" w:sz="4" w:space="0" w:color="auto"/>
            </w:tcBorders>
            <w:shd w:val="clear" w:color="auto" w:fill="1F497D"/>
            <w:vAlign w:val="bottom"/>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2012</w:t>
            </w:r>
          </w:p>
        </w:tc>
        <w:tc>
          <w:tcPr>
            <w:tcW w:w="993" w:type="dxa"/>
            <w:tcBorders>
              <w:top w:val="single" w:sz="4" w:space="0" w:color="auto"/>
              <w:left w:val="nil"/>
              <w:bottom w:val="single" w:sz="4" w:space="0" w:color="auto"/>
              <w:right w:val="single" w:sz="4" w:space="0" w:color="auto"/>
            </w:tcBorders>
            <w:shd w:val="clear" w:color="auto" w:fill="1F497D"/>
            <w:vAlign w:val="bottom"/>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2013</w:t>
            </w:r>
          </w:p>
        </w:tc>
        <w:tc>
          <w:tcPr>
            <w:tcW w:w="850" w:type="dxa"/>
            <w:tcBorders>
              <w:top w:val="single" w:sz="4" w:space="0" w:color="auto"/>
              <w:left w:val="nil"/>
              <w:bottom w:val="single" w:sz="4" w:space="0" w:color="auto"/>
              <w:right w:val="single" w:sz="4" w:space="0" w:color="auto"/>
            </w:tcBorders>
            <w:shd w:val="clear" w:color="auto" w:fill="1F497D"/>
            <w:vAlign w:val="bottom"/>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2014</w:t>
            </w:r>
          </w:p>
        </w:tc>
        <w:tc>
          <w:tcPr>
            <w:tcW w:w="851" w:type="dxa"/>
            <w:tcBorders>
              <w:top w:val="single" w:sz="4" w:space="0" w:color="auto"/>
              <w:left w:val="nil"/>
              <w:bottom w:val="single" w:sz="4" w:space="0" w:color="auto"/>
              <w:right w:val="single" w:sz="4" w:space="0" w:color="auto"/>
            </w:tcBorders>
            <w:shd w:val="clear" w:color="auto" w:fill="1F497D"/>
            <w:vAlign w:val="bottom"/>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2015</w:t>
            </w:r>
          </w:p>
        </w:tc>
        <w:tc>
          <w:tcPr>
            <w:tcW w:w="748" w:type="dxa"/>
            <w:tcBorders>
              <w:top w:val="single" w:sz="4" w:space="0" w:color="auto"/>
              <w:left w:val="nil"/>
              <w:bottom w:val="single" w:sz="4" w:space="0" w:color="auto"/>
              <w:right w:val="single" w:sz="4" w:space="0" w:color="auto"/>
            </w:tcBorders>
            <w:shd w:val="clear" w:color="auto" w:fill="1F497D"/>
            <w:vAlign w:val="bottom"/>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2016</w:t>
            </w:r>
          </w:p>
        </w:tc>
      </w:tr>
      <w:tr w:rsidR="00F51B81" w:rsidRPr="001F0139" w:rsidTr="002760F1">
        <w:trPr>
          <w:trHeight w:val="540"/>
          <w:jc w:val="center"/>
        </w:trPr>
        <w:tc>
          <w:tcPr>
            <w:tcW w:w="4925" w:type="dxa"/>
            <w:tcBorders>
              <w:top w:val="nil"/>
              <w:left w:val="single" w:sz="4" w:space="0" w:color="auto"/>
              <w:bottom w:val="single" w:sz="4" w:space="0" w:color="auto"/>
              <w:right w:val="single" w:sz="4" w:space="0" w:color="auto"/>
            </w:tcBorders>
            <w:vAlign w:val="bottom"/>
            <w:hideMark/>
          </w:tcPr>
          <w:p w:rsidR="00F51B81" w:rsidRPr="001F0139" w:rsidRDefault="00F51B81" w:rsidP="001F0139">
            <w:pPr>
              <w:spacing w:after="0" w:line="240" w:lineRule="auto"/>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Зерновые и зернобобовые культуры (в весе после доработки)</w:t>
            </w:r>
          </w:p>
        </w:tc>
        <w:tc>
          <w:tcPr>
            <w:tcW w:w="992"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11,4</w:t>
            </w:r>
          </w:p>
        </w:tc>
        <w:tc>
          <w:tcPr>
            <w:tcW w:w="993"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16,1</w:t>
            </w:r>
          </w:p>
        </w:tc>
        <w:tc>
          <w:tcPr>
            <w:tcW w:w="85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16,5</w:t>
            </w:r>
          </w:p>
        </w:tc>
        <w:tc>
          <w:tcPr>
            <w:tcW w:w="851"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14,8</w:t>
            </w:r>
          </w:p>
        </w:tc>
        <w:tc>
          <w:tcPr>
            <w:tcW w:w="748"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16,5</w:t>
            </w:r>
          </w:p>
        </w:tc>
      </w:tr>
      <w:tr w:rsidR="00F51B81" w:rsidRPr="001F0139" w:rsidTr="002760F1">
        <w:trPr>
          <w:trHeight w:val="315"/>
          <w:jc w:val="center"/>
        </w:trPr>
        <w:tc>
          <w:tcPr>
            <w:tcW w:w="4925" w:type="dxa"/>
            <w:tcBorders>
              <w:top w:val="nil"/>
              <w:left w:val="single" w:sz="4" w:space="0" w:color="auto"/>
              <w:bottom w:val="single" w:sz="4" w:space="0" w:color="auto"/>
              <w:right w:val="single" w:sz="4" w:space="0" w:color="auto"/>
            </w:tcBorders>
            <w:vAlign w:val="bottom"/>
            <w:hideMark/>
          </w:tcPr>
          <w:p w:rsidR="00F51B81" w:rsidRPr="001F0139" w:rsidRDefault="00F51B81" w:rsidP="001F0139">
            <w:pPr>
              <w:spacing w:after="0" w:line="240" w:lineRule="auto"/>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Подсолнечник (в весе после доработки)</w:t>
            </w:r>
          </w:p>
        </w:tc>
        <w:tc>
          <w:tcPr>
            <w:tcW w:w="992"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5,5</w:t>
            </w:r>
          </w:p>
        </w:tc>
        <w:tc>
          <w:tcPr>
            <w:tcW w:w="993"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6,2</w:t>
            </w:r>
          </w:p>
        </w:tc>
        <w:tc>
          <w:tcPr>
            <w:tcW w:w="85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8,0</w:t>
            </w:r>
          </w:p>
        </w:tc>
        <w:tc>
          <w:tcPr>
            <w:tcW w:w="851"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11,6</w:t>
            </w:r>
          </w:p>
        </w:tc>
        <w:tc>
          <w:tcPr>
            <w:tcW w:w="748"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7,4</w:t>
            </w:r>
          </w:p>
        </w:tc>
      </w:tr>
      <w:tr w:rsidR="00F51B81" w:rsidRPr="001F0139" w:rsidTr="002760F1">
        <w:trPr>
          <w:trHeight w:val="300"/>
          <w:jc w:val="center"/>
        </w:trPr>
        <w:tc>
          <w:tcPr>
            <w:tcW w:w="4925" w:type="dxa"/>
            <w:tcBorders>
              <w:top w:val="nil"/>
              <w:left w:val="single" w:sz="4" w:space="0" w:color="auto"/>
              <w:bottom w:val="single" w:sz="4" w:space="0" w:color="auto"/>
              <w:right w:val="single" w:sz="4" w:space="0" w:color="auto"/>
            </w:tcBorders>
            <w:vAlign w:val="bottom"/>
            <w:hideMark/>
          </w:tcPr>
          <w:p w:rsidR="00F51B81" w:rsidRPr="001F0139" w:rsidRDefault="00F51B81" w:rsidP="001F0139">
            <w:pPr>
              <w:spacing w:after="0" w:line="240" w:lineRule="auto"/>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Картофель</w:t>
            </w:r>
          </w:p>
        </w:tc>
        <w:tc>
          <w:tcPr>
            <w:tcW w:w="992"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130,2</w:t>
            </w:r>
          </w:p>
        </w:tc>
        <w:tc>
          <w:tcPr>
            <w:tcW w:w="993"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130,3</w:t>
            </w:r>
          </w:p>
        </w:tc>
        <w:tc>
          <w:tcPr>
            <w:tcW w:w="85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132,3</w:t>
            </w:r>
          </w:p>
        </w:tc>
        <w:tc>
          <w:tcPr>
            <w:tcW w:w="851"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127,2</w:t>
            </w:r>
          </w:p>
        </w:tc>
        <w:tc>
          <w:tcPr>
            <w:tcW w:w="748"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133</w:t>
            </w:r>
          </w:p>
        </w:tc>
      </w:tr>
      <w:tr w:rsidR="00F51B81" w:rsidRPr="001F0139" w:rsidTr="002760F1">
        <w:trPr>
          <w:trHeight w:val="300"/>
          <w:jc w:val="center"/>
        </w:trPr>
        <w:tc>
          <w:tcPr>
            <w:tcW w:w="4925" w:type="dxa"/>
            <w:tcBorders>
              <w:top w:val="nil"/>
              <w:left w:val="single" w:sz="4" w:space="0" w:color="auto"/>
              <w:bottom w:val="single" w:sz="4" w:space="0" w:color="auto"/>
              <w:right w:val="single" w:sz="4" w:space="0" w:color="auto"/>
            </w:tcBorders>
            <w:vAlign w:val="bottom"/>
            <w:hideMark/>
          </w:tcPr>
          <w:p w:rsidR="00F51B81" w:rsidRPr="001F0139" w:rsidRDefault="00F51B81" w:rsidP="001F0139">
            <w:pPr>
              <w:spacing w:after="0" w:line="240" w:lineRule="auto"/>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Овощи</w:t>
            </w:r>
          </w:p>
        </w:tc>
        <w:tc>
          <w:tcPr>
            <w:tcW w:w="992"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262,3</w:t>
            </w:r>
          </w:p>
        </w:tc>
        <w:tc>
          <w:tcPr>
            <w:tcW w:w="993"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251,3</w:t>
            </w:r>
          </w:p>
        </w:tc>
        <w:tc>
          <w:tcPr>
            <w:tcW w:w="85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249,6</w:t>
            </w:r>
          </w:p>
        </w:tc>
        <w:tc>
          <w:tcPr>
            <w:tcW w:w="851"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241,5</w:t>
            </w:r>
          </w:p>
        </w:tc>
        <w:tc>
          <w:tcPr>
            <w:tcW w:w="748"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245</w:t>
            </w:r>
          </w:p>
        </w:tc>
      </w:tr>
    </w:tbl>
    <w:p w:rsidR="00F51B81" w:rsidRPr="001F0139" w:rsidRDefault="00F51B81" w:rsidP="001F0139">
      <w:pPr>
        <w:spacing w:after="0" w:line="240" w:lineRule="auto"/>
        <w:ind w:firstLine="426"/>
        <w:jc w:val="both"/>
        <w:rPr>
          <w:rFonts w:ascii="Times New Roman" w:hAnsi="Times New Roman" w:cs="Times New Roman"/>
          <w:sz w:val="20"/>
          <w:szCs w:val="20"/>
        </w:rPr>
      </w:pPr>
      <w:r w:rsidRPr="001F0139">
        <w:rPr>
          <w:rFonts w:ascii="Times New Roman" w:hAnsi="Times New Roman" w:cs="Times New Roman"/>
          <w:sz w:val="20"/>
          <w:szCs w:val="20"/>
        </w:rPr>
        <w:t xml:space="preserve"> Источники: Муниципальные районы Самарской области, 2017. Статистический сборник</w:t>
      </w:r>
    </w:p>
    <w:p w:rsidR="00F51B81" w:rsidRPr="001F0139" w:rsidRDefault="00F51B81" w:rsidP="001F0139">
      <w:pPr>
        <w:spacing w:after="0" w:line="240" w:lineRule="auto"/>
        <w:ind w:firstLine="426"/>
        <w:jc w:val="both"/>
        <w:rPr>
          <w:rFonts w:ascii="Times New Roman" w:hAnsi="Times New Roman" w:cs="Times New Roman"/>
          <w:sz w:val="28"/>
          <w:szCs w:val="28"/>
        </w:rPr>
      </w:pP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Основными продуктами животноводства в Камышлинском районе являются мясо, молоко, яйца и шерсть (табл. 1.5.3). Основными производителями данных продуктов являются личные подсобные хозяйства населения. По всем видам продуктов (кроме шерсти, объем производства которой не изменился) наблюдается сокращение объемов производства: мясо и яйцо – в 1,7 раза, молоко – в 1,2 раза. </w:t>
      </w:r>
    </w:p>
    <w:p w:rsidR="00F51B81" w:rsidRPr="001F0139" w:rsidRDefault="00F51B81" w:rsidP="001F0139">
      <w:pPr>
        <w:spacing w:after="0" w:line="240" w:lineRule="auto"/>
        <w:ind w:firstLine="709"/>
        <w:jc w:val="both"/>
        <w:rPr>
          <w:rFonts w:ascii="Times New Roman" w:hAnsi="Times New Roman" w:cs="Times New Roman"/>
          <w:sz w:val="28"/>
          <w:szCs w:val="28"/>
        </w:rPr>
      </w:pPr>
    </w:p>
    <w:p w:rsidR="00F51B81" w:rsidRPr="001F0139" w:rsidRDefault="00F51B81" w:rsidP="001F0139">
      <w:pPr>
        <w:spacing w:after="0" w:line="240" w:lineRule="auto"/>
        <w:rPr>
          <w:rFonts w:ascii="Times New Roman" w:hAnsi="Times New Roman" w:cs="Times New Roman"/>
          <w:b/>
          <w:color w:val="000000"/>
          <w:sz w:val="28"/>
          <w:szCs w:val="28"/>
          <w:shd w:val="clear" w:color="auto" w:fill="FFFFFF"/>
        </w:rPr>
      </w:pPr>
      <w:r w:rsidRPr="001F0139">
        <w:rPr>
          <w:rFonts w:ascii="Times New Roman" w:hAnsi="Times New Roman" w:cs="Times New Roman"/>
          <w:b/>
          <w:color w:val="000000"/>
          <w:sz w:val="28"/>
          <w:szCs w:val="28"/>
          <w:shd w:val="clear" w:color="auto" w:fill="FFFFFF"/>
        </w:rPr>
        <w:t>Таблица 1.5.3 - Производство основных продуктов животноводства</w:t>
      </w:r>
    </w:p>
    <w:p w:rsidR="00F51B81" w:rsidRPr="001F0139" w:rsidRDefault="00F51B81" w:rsidP="001F0139">
      <w:pPr>
        <w:spacing w:after="0" w:line="240" w:lineRule="auto"/>
        <w:jc w:val="center"/>
        <w:rPr>
          <w:rFonts w:ascii="Times New Roman" w:hAnsi="Times New Roman" w:cs="Times New Roman"/>
          <w:b/>
          <w:color w:val="000000"/>
          <w:sz w:val="28"/>
          <w:szCs w:val="28"/>
          <w:shd w:val="clear" w:color="auto" w:fill="FFFFFF"/>
        </w:rPr>
      </w:pPr>
      <w:r w:rsidRPr="001F0139">
        <w:rPr>
          <w:rFonts w:ascii="Times New Roman" w:hAnsi="Times New Roman" w:cs="Times New Roman"/>
          <w:b/>
          <w:color w:val="000000"/>
          <w:sz w:val="28"/>
          <w:szCs w:val="28"/>
          <w:shd w:val="clear" w:color="auto" w:fill="FFFFFF"/>
        </w:rPr>
        <w:t>Камышлинского района в 2012-2016 гг. (тонн)</w:t>
      </w:r>
    </w:p>
    <w:tbl>
      <w:tblPr>
        <w:tblW w:w="9640" w:type="dxa"/>
        <w:tblInd w:w="93" w:type="dxa"/>
        <w:tblLook w:val="04A0" w:firstRow="1" w:lastRow="0" w:firstColumn="1" w:lastColumn="0" w:noHBand="0" w:noVBand="1"/>
      </w:tblPr>
      <w:tblGrid>
        <w:gridCol w:w="4840"/>
        <w:gridCol w:w="960"/>
        <w:gridCol w:w="960"/>
        <w:gridCol w:w="960"/>
        <w:gridCol w:w="960"/>
        <w:gridCol w:w="960"/>
      </w:tblGrid>
      <w:tr w:rsidR="00F51B81" w:rsidRPr="001F0139" w:rsidTr="002760F1">
        <w:trPr>
          <w:trHeight w:hRule="exact" w:val="340"/>
          <w:tblHeader/>
        </w:trPr>
        <w:tc>
          <w:tcPr>
            <w:tcW w:w="4840" w:type="dxa"/>
            <w:vMerge w:val="restart"/>
            <w:tcBorders>
              <w:top w:val="single" w:sz="8" w:space="0" w:color="000000"/>
              <w:left w:val="single" w:sz="8" w:space="0" w:color="000000"/>
              <w:bottom w:val="single" w:sz="4" w:space="0" w:color="000000"/>
              <w:right w:val="single" w:sz="4" w:space="0" w:color="000000"/>
            </w:tcBorders>
            <w:shd w:val="clear" w:color="auto" w:fill="1F497D"/>
            <w:vAlign w:val="center"/>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Наименование показателей</w:t>
            </w:r>
          </w:p>
        </w:tc>
        <w:tc>
          <w:tcPr>
            <w:tcW w:w="4800" w:type="dxa"/>
            <w:gridSpan w:val="5"/>
            <w:tcBorders>
              <w:top w:val="single" w:sz="8" w:space="0" w:color="000000"/>
              <w:left w:val="nil"/>
              <w:bottom w:val="single" w:sz="4" w:space="0" w:color="000000"/>
              <w:right w:val="single" w:sz="4" w:space="0" w:color="000000"/>
            </w:tcBorders>
            <w:shd w:val="clear" w:color="auto" w:fill="1F497D"/>
            <w:vAlign w:val="center"/>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Годы</w:t>
            </w:r>
          </w:p>
        </w:tc>
      </w:tr>
      <w:tr w:rsidR="00F51B81" w:rsidRPr="001F0139" w:rsidTr="002760F1">
        <w:trPr>
          <w:trHeight w:hRule="exact" w:val="340"/>
          <w:tblHeader/>
        </w:trPr>
        <w:tc>
          <w:tcPr>
            <w:tcW w:w="0" w:type="auto"/>
            <w:vMerge/>
            <w:tcBorders>
              <w:top w:val="single" w:sz="8" w:space="0" w:color="000000"/>
              <w:left w:val="single" w:sz="8" w:space="0" w:color="000000"/>
              <w:bottom w:val="single" w:sz="4" w:space="0" w:color="000000"/>
              <w:right w:val="single" w:sz="4" w:space="0" w:color="000000"/>
            </w:tcBorders>
            <w:vAlign w:val="center"/>
            <w:hideMark/>
          </w:tcPr>
          <w:p w:rsidR="00F51B81" w:rsidRPr="001F0139" w:rsidRDefault="00F51B81" w:rsidP="001F0139">
            <w:pPr>
              <w:spacing w:after="0" w:line="240" w:lineRule="auto"/>
              <w:rPr>
                <w:rFonts w:ascii="Times New Roman" w:eastAsia="Times New Roman" w:hAnsi="Times New Roman" w:cs="Times New Roman"/>
                <w:b/>
                <w:bCs/>
                <w:color w:val="FFFFFF"/>
                <w:sz w:val="24"/>
                <w:szCs w:val="24"/>
                <w:lang w:eastAsia="ru-RU"/>
              </w:rPr>
            </w:pPr>
          </w:p>
        </w:tc>
        <w:tc>
          <w:tcPr>
            <w:tcW w:w="960" w:type="dxa"/>
            <w:tcBorders>
              <w:top w:val="nil"/>
              <w:left w:val="nil"/>
              <w:bottom w:val="single" w:sz="4" w:space="0" w:color="000000"/>
              <w:right w:val="single" w:sz="4" w:space="0" w:color="000000"/>
            </w:tcBorders>
            <w:shd w:val="clear" w:color="auto" w:fill="1F497D"/>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2012</w:t>
            </w:r>
          </w:p>
        </w:tc>
        <w:tc>
          <w:tcPr>
            <w:tcW w:w="960" w:type="dxa"/>
            <w:tcBorders>
              <w:top w:val="nil"/>
              <w:left w:val="nil"/>
              <w:bottom w:val="single" w:sz="4" w:space="0" w:color="000000"/>
              <w:right w:val="single" w:sz="4" w:space="0" w:color="000000"/>
            </w:tcBorders>
            <w:shd w:val="clear" w:color="auto" w:fill="1F497D"/>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2013</w:t>
            </w:r>
          </w:p>
        </w:tc>
        <w:tc>
          <w:tcPr>
            <w:tcW w:w="960" w:type="dxa"/>
            <w:tcBorders>
              <w:top w:val="nil"/>
              <w:left w:val="nil"/>
              <w:bottom w:val="single" w:sz="4" w:space="0" w:color="000000"/>
              <w:right w:val="single" w:sz="4" w:space="0" w:color="000000"/>
            </w:tcBorders>
            <w:shd w:val="clear" w:color="auto" w:fill="1F497D"/>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2014</w:t>
            </w:r>
          </w:p>
        </w:tc>
        <w:tc>
          <w:tcPr>
            <w:tcW w:w="960" w:type="dxa"/>
            <w:tcBorders>
              <w:top w:val="nil"/>
              <w:left w:val="nil"/>
              <w:bottom w:val="single" w:sz="4" w:space="0" w:color="000000"/>
              <w:right w:val="single" w:sz="4" w:space="0" w:color="000000"/>
            </w:tcBorders>
            <w:shd w:val="clear" w:color="auto" w:fill="1F497D"/>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2015</w:t>
            </w:r>
          </w:p>
        </w:tc>
        <w:tc>
          <w:tcPr>
            <w:tcW w:w="960" w:type="dxa"/>
            <w:tcBorders>
              <w:top w:val="nil"/>
              <w:left w:val="nil"/>
              <w:bottom w:val="single" w:sz="4" w:space="0" w:color="000000"/>
              <w:right w:val="single" w:sz="4" w:space="0" w:color="000000"/>
            </w:tcBorders>
            <w:shd w:val="clear" w:color="auto" w:fill="1F497D"/>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2016</w:t>
            </w:r>
          </w:p>
        </w:tc>
      </w:tr>
      <w:tr w:rsidR="00F51B81" w:rsidRPr="001F013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rPr>
                <w:rFonts w:ascii="Times New Roman" w:eastAsia="Times New Roman" w:hAnsi="Times New Roman" w:cs="Times New Roman"/>
                <w:i/>
                <w:iCs/>
                <w:color w:val="000000"/>
                <w:sz w:val="24"/>
                <w:szCs w:val="24"/>
                <w:lang w:eastAsia="ru-RU"/>
              </w:rPr>
            </w:pPr>
            <w:r w:rsidRPr="001F0139">
              <w:rPr>
                <w:rFonts w:ascii="Times New Roman" w:eastAsia="Times New Roman" w:hAnsi="Times New Roman" w:cs="Times New Roman"/>
                <w:i/>
                <w:iCs/>
                <w:color w:val="000000"/>
                <w:sz w:val="24"/>
                <w:szCs w:val="24"/>
                <w:lang w:eastAsia="ru-RU"/>
              </w:rPr>
              <w:t>Мясо (</w:t>
            </w:r>
            <w:r w:rsidRPr="001F0139">
              <w:rPr>
                <w:rFonts w:ascii="Times New Roman" w:eastAsia="Times New Roman" w:hAnsi="Times New Roman" w:cs="Times New Roman"/>
                <w:color w:val="000000"/>
                <w:sz w:val="24"/>
                <w:szCs w:val="24"/>
                <w:lang w:eastAsia="ru-RU"/>
              </w:rPr>
              <w:t>в живом весе) - всего</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1043</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574</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634</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707</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618</w:t>
            </w:r>
          </w:p>
        </w:tc>
      </w:tr>
      <w:tr w:rsidR="00F51B81" w:rsidRPr="001F013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в т.ч. сельскохозяйственные предприятия</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34</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20</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23</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34</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0</w:t>
            </w:r>
          </w:p>
        </w:tc>
      </w:tr>
      <w:tr w:rsidR="00F51B81" w:rsidRPr="001F013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личные подсобные хозяйства населения</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921</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533</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578</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604</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590</w:t>
            </w:r>
          </w:p>
        </w:tc>
      </w:tr>
      <w:tr w:rsidR="00F51B81" w:rsidRPr="001F013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крестьянские (фермерские) хозяйства</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88</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21</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33</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69</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28</w:t>
            </w:r>
          </w:p>
        </w:tc>
      </w:tr>
      <w:tr w:rsidR="00F51B81" w:rsidRPr="001F013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rPr>
                <w:rFonts w:ascii="Times New Roman" w:eastAsia="Times New Roman" w:hAnsi="Times New Roman" w:cs="Times New Roman"/>
                <w:i/>
                <w:iCs/>
                <w:color w:val="000000"/>
                <w:sz w:val="24"/>
                <w:szCs w:val="24"/>
                <w:lang w:eastAsia="ru-RU"/>
              </w:rPr>
            </w:pPr>
            <w:r w:rsidRPr="001F0139">
              <w:rPr>
                <w:rFonts w:ascii="Times New Roman" w:eastAsia="Times New Roman" w:hAnsi="Times New Roman" w:cs="Times New Roman"/>
                <w:i/>
                <w:iCs/>
                <w:color w:val="000000"/>
                <w:sz w:val="24"/>
                <w:szCs w:val="24"/>
                <w:lang w:eastAsia="ru-RU"/>
              </w:rPr>
              <w:t xml:space="preserve">Молоко </w:t>
            </w:r>
            <w:r w:rsidRPr="001F0139">
              <w:rPr>
                <w:rFonts w:ascii="Times New Roman" w:eastAsia="Times New Roman" w:hAnsi="Times New Roman" w:cs="Times New Roman"/>
                <w:color w:val="000000"/>
                <w:sz w:val="24"/>
                <w:szCs w:val="24"/>
                <w:lang w:eastAsia="ru-RU"/>
              </w:rPr>
              <w:t>- всего</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5090,4</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5284</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4564</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4179</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4123</w:t>
            </w:r>
          </w:p>
        </w:tc>
      </w:tr>
      <w:tr w:rsidR="00F51B81" w:rsidRPr="001F013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в т.ч. сельскохозяйственные предприятия</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503</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409</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262</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137</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0</w:t>
            </w:r>
          </w:p>
        </w:tc>
      </w:tr>
      <w:tr w:rsidR="00F51B81" w:rsidRPr="001F013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личные подсобные хозяйства населения</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3753</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3977</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3152</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2978</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3150</w:t>
            </w:r>
          </w:p>
        </w:tc>
      </w:tr>
      <w:tr w:rsidR="00F51B81" w:rsidRPr="001F013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крестьянские (фермерские) хозяйства</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834</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898</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1150</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1064</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973</w:t>
            </w:r>
          </w:p>
        </w:tc>
      </w:tr>
      <w:tr w:rsidR="00F51B81" w:rsidRPr="001F013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rPr>
                <w:rFonts w:ascii="Times New Roman" w:eastAsia="Times New Roman" w:hAnsi="Times New Roman" w:cs="Times New Roman"/>
                <w:i/>
                <w:iCs/>
                <w:color w:val="000000"/>
                <w:sz w:val="24"/>
                <w:szCs w:val="24"/>
                <w:lang w:eastAsia="ru-RU"/>
              </w:rPr>
            </w:pPr>
            <w:r w:rsidRPr="001F0139">
              <w:rPr>
                <w:rFonts w:ascii="Times New Roman" w:eastAsia="Times New Roman" w:hAnsi="Times New Roman" w:cs="Times New Roman"/>
                <w:i/>
                <w:iCs/>
                <w:color w:val="000000"/>
                <w:sz w:val="24"/>
                <w:szCs w:val="24"/>
                <w:lang w:eastAsia="ru-RU"/>
              </w:rPr>
              <w:t xml:space="preserve">Яйца - </w:t>
            </w:r>
            <w:r w:rsidRPr="001F0139">
              <w:rPr>
                <w:rFonts w:ascii="Times New Roman" w:eastAsia="Times New Roman" w:hAnsi="Times New Roman" w:cs="Times New Roman"/>
                <w:color w:val="000000"/>
                <w:sz w:val="24"/>
                <w:szCs w:val="24"/>
                <w:lang w:eastAsia="ru-RU"/>
              </w:rPr>
              <w:t>всего</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2252</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1904</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1563</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1589</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1309</w:t>
            </w:r>
          </w:p>
        </w:tc>
      </w:tr>
      <w:tr w:rsidR="00F51B81" w:rsidRPr="001F013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личные подсобные хозяйства населения</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2252</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1904</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1563</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1589</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1309</w:t>
            </w:r>
          </w:p>
        </w:tc>
      </w:tr>
      <w:tr w:rsidR="00F51B81" w:rsidRPr="001F013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rPr>
                <w:rFonts w:ascii="Times New Roman" w:eastAsia="Times New Roman" w:hAnsi="Times New Roman" w:cs="Times New Roman"/>
                <w:i/>
                <w:iCs/>
                <w:color w:val="000000"/>
                <w:sz w:val="24"/>
                <w:szCs w:val="24"/>
                <w:lang w:eastAsia="ru-RU"/>
              </w:rPr>
            </w:pPr>
            <w:r w:rsidRPr="001F0139">
              <w:rPr>
                <w:rFonts w:ascii="Times New Roman" w:eastAsia="Times New Roman" w:hAnsi="Times New Roman" w:cs="Times New Roman"/>
                <w:i/>
                <w:iCs/>
                <w:color w:val="000000"/>
                <w:sz w:val="24"/>
                <w:szCs w:val="24"/>
                <w:lang w:eastAsia="ru-RU"/>
              </w:rPr>
              <w:t xml:space="preserve">Шерсть </w:t>
            </w:r>
            <w:r w:rsidRPr="001F0139">
              <w:rPr>
                <w:rFonts w:ascii="Times New Roman" w:eastAsia="Times New Roman" w:hAnsi="Times New Roman" w:cs="Times New Roman"/>
                <w:color w:val="000000"/>
                <w:sz w:val="24"/>
                <w:szCs w:val="24"/>
                <w:lang w:eastAsia="ru-RU"/>
              </w:rPr>
              <w:t>(в физическом весе) – всего:</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4</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4</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4</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5</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4</w:t>
            </w:r>
          </w:p>
        </w:tc>
      </w:tr>
      <w:tr w:rsidR="00F51B81" w:rsidRPr="001F013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1F0139" w:rsidRDefault="00F51B81" w:rsidP="001F0139">
            <w:pPr>
              <w:spacing w:after="0" w:line="240" w:lineRule="auto"/>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личные подсобные хозяйства населения</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4"/>
                <w:lang w:eastAsia="ru-RU"/>
              </w:rPr>
              <w:t>4</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4</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4</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5</w:t>
            </w:r>
          </w:p>
        </w:tc>
        <w:tc>
          <w:tcPr>
            <w:tcW w:w="960" w:type="dxa"/>
            <w:tcBorders>
              <w:top w:val="nil"/>
              <w:left w:val="nil"/>
              <w:bottom w:val="single" w:sz="4" w:space="0" w:color="000000"/>
              <w:right w:val="single" w:sz="4" w:space="0" w:color="000000"/>
            </w:tcBorders>
            <w:noWrap/>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4</w:t>
            </w:r>
          </w:p>
        </w:tc>
      </w:tr>
    </w:tbl>
    <w:p w:rsidR="00F51B81" w:rsidRPr="001F0139" w:rsidRDefault="00F51B81" w:rsidP="001F0139">
      <w:pPr>
        <w:spacing w:after="0" w:line="240" w:lineRule="auto"/>
        <w:ind w:firstLine="426"/>
        <w:jc w:val="both"/>
        <w:rPr>
          <w:rFonts w:ascii="Times New Roman" w:hAnsi="Times New Roman" w:cs="Times New Roman"/>
          <w:sz w:val="20"/>
          <w:szCs w:val="20"/>
        </w:rPr>
      </w:pPr>
      <w:r w:rsidRPr="001F0139">
        <w:rPr>
          <w:rFonts w:ascii="Times New Roman" w:hAnsi="Times New Roman" w:cs="Times New Roman"/>
          <w:sz w:val="20"/>
          <w:szCs w:val="20"/>
        </w:rPr>
        <w:t>Источник: Паспорт социально-экономического развития Камышлинского района, форма № 5</w:t>
      </w:r>
    </w:p>
    <w:p w:rsidR="00F51B81" w:rsidRPr="001F0139" w:rsidRDefault="00F51B81" w:rsidP="001F0139">
      <w:pPr>
        <w:spacing w:after="0" w:line="360" w:lineRule="auto"/>
        <w:ind w:firstLine="709"/>
        <w:jc w:val="both"/>
        <w:rPr>
          <w:rFonts w:ascii="Times New Roman" w:hAnsi="Times New Roman" w:cs="Times New Roman"/>
          <w:sz w:val="28"/>
          <w:szCs w:val="28"/>
        </w:rPr>
      </w:pP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Поголовье крупного рогатого скота уменьшилось на 1000 голов за период с 2012 по 2016 гг. Поголовье свиней не изменилось, а поголовье овец и коз увеличилось на 500 голов (табл.1.5.4)</w:t>
      </w:r>
    </w:p>
    <w:p w:rsidR="00F51B81" w:rsidRPr="001F0139" w:rsidRDefault="00F51B81" w:rsidP="001F0139">
      <w:pPr>
        <w:spacing w:after="0" w:line="240" w:lineRule="auto"/>
        <w:jc w:val="both"/>
        <w:rPr>
          <w:rFonts w:ascii="Times New Roman" w:hAnsi="Times New Roman" w:cs="Times New Roman"/>
          <w:b/>
          <w:color w:val="000000"/>
          <w:sz w:val="28"/>
          <w:szCs w:val="28"/>
          <w:shd w:val="clear" w:color="auto" w:fill="FFFFFF"/>
        </w:rPr>
      </w:pPr>
      <w:r w:rsidRPr="001F0139">
        <w:rPr>
          <w:rFonts w:ascii="Times New Roman" w:hAnsi="Times New Roman" w:cs="Times New Roman"/>
          <w:b/>
          <w:color w:val="000000"/>
          <w:sz w:val="28"/>
          <w:szCs w:val="28"/>
          <w:shd w:val="clear" w:color="auto" w:fill="FFFFFF"/>
        </w:rPr>
        <w:t>Таблица 1.5.4 – Поголовье скота в хозяйствах всех категорий</w:t>
      </w:r>
    </w:p>
    <w:p w:rsidR="00F51B81" w:rsidRPr="001F0139" w:rsidRDefault="00F51B81" w:rsidP="001F0139">
      <w:pPr>
        <w:spacing w:after="0" w:line="240" w:lineRule="auto"/>
        <w:jc w:val="both"/>
        <w:rPr>
          <w:rFonts w:ascii="Times New Roman" w:hAnsi="Times New Roman" w:cs="Times New Roman"/>
          <w:b/>
          <w:color w:val="000000"/>
          <w:sz w:val="28"/>
          <w:szCs w:val="28"/>
          <w:shd w:val="clear" w:color="auto" w:fill="FFFFFF"/>
        </w:rPr>
      </w:pPr>
      <w:r w:rsidRPr="001F0139">
        <w:rPr>
          <w:rFonts w:ascii="Times New Roman" w:hAnsi="Times New Roman" w:cs="Times New Roman"/>
          <w:b/>
          <w:color w:val="000000"/>
          <w:sz w:val="28"/>
          <w:szCs w:val="28"/>
          <w:shd w:val="clear" w:color="auto" w:fill="FFFFFF"/>
        </w:rPr>
        <w:t>Камышлинского района в 2012-2016 гг. (тысяч голов)</w:t>
      </w:r>
    </w:p>
    <w:tbl>
      <w:tblPr>
        <w:tblW w:w="8560" w:type="dxa"/>
        <w:jc w:val="center"/>
        <w:tblInd w:w="93" w:type="dxa"/>
        <w:tblLook w:val="04A0" w:firstRow="1" w:lastRow="0" w:firstColumn="1" w:lastColumn="0" w:noHBand="0" w:noVBand="1"/>
      </w:tblPr>
      <w:tblGrid>
        <w:gridCol w:w="3760"/>
        <w:gridCol w:w="960"/>
        <w:gridCol w:w="960"/>
        <w:gridCol w:w="960"/>
        <w:gridCol w:w="960"/>
        <w:gridCol w:w="960"/>
      </w:tblGrid>
      <w:tr w:rsidR="00F51B81" w:rsidRPr="001F0139" w:rsidTr="002760F1">
        <w:trPr>
          <w:trHeight w:val="315"/>
          <w:jc w:val="center"/>
        </w:trPr>
        <w:tc>
          <w:tcPr>
            <w:tcW w:w="3760" w:type="dxa"/>
            <w:tcBorders>
              <w:top w:val="single" w:sz="4" w:space="0" w:color="auto"/>
              <w:left w:val="single" w:sz="4" w:space="0" w:color="auto"/>
              <w:bottom w:val="single" w:sz="4" w:space="0" w:color="auto"/>
              <w:right w:val="single" w:sz="4" w:space="0" w:color="auto"/>
            </w:tcBorders>
            <w:shd w:val="clear" w:color="auto" w:fill="1F497D"/>
            <w:vAlign w:val="bottom"/>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0"/>
                <w:lang w:eastAsia="ru-RU"/>
              </w:rPr>
              <w:t> </w:t>
            </w:r>
          </w:p>
        </w:tc>
        <w:tc>
          <w:tcPr>
            <w:tcW w:w="960" w:type="dxa"/>
            <w:tcBorders>
              <w:top w:val="single" w:sz="4" w:space="0" w:color="auto"/>
              <w:left w:val="nil"/>
              <w:bottom w:val="single" w:sz="4" w:space="0" w:color="auto"/>
              <w:right w:val="single" w:sz="4" w:space="0" w:color="auto"/>
            </w:tcBorders>
            <w:shd w:val="clear" w:color="auto" w:fill="1F497D"/>
            <w:vAlign w:val="bottom"/>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0"/>
                <w:lang w:eastAsia="ru-RU"/>
              </w:rPr>
              <w:t>2012</w:t>
            </w:r>
          </w:p>
        </w:tc>
        <w:tc>
          <w:tcPr>
            <w:tcW w:w="960" w:type="dxa"/>
            <w:tcBorders>
              <w:top w:val="single" w:sz="4" w:space="0" w:color="auto"/>
              <w:left w:val="nil"/>
              <w:bottom w:val="single" w:sz="4" w:space="0" w:color="auto"/>
              <w:right w:val="single" w:sz="4" w:space="0" w:color="auto"/>
            </w:tcBorders>
            <w:shd w:val="clear" w:color="auto" w:fill="1F497D"/>
            <w:vAlign w:val="bottom"/>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0"/>
                <w:lang w:eastAsia="ru-RU"/>
              </w:rPr>
              <w:t>2013</w:t>
            </w:r>
          </w:p>
        </w:tc>
        <w:tc>
          <w:tcPr>
            <w:tcW w:w="960" w:type="dxa"/>
            <w:tcBorders>
              <w:top w:val="single" w:sz="4" w:space="0" w:color="auto"/>
              <w:left w:val="nil"/>
              <w:bottom w:val="single" w:sz="4" w:space="0" w:color="auto"/>
              <w:right w:val="single" w:sz="4" w:space="0" w:color="auto"/>
            </w:tcBorders>
            <w:shd w:val="clear" w:color="auto" w:fill="1F497D"/>
            <w:vAlign w:val="bottom"/>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0"/>
                <w:lang w:eastAsia="ru-RU"/>
              </w:rPr>
              <w:t>2014</w:t>
            </w:r>
          </w:p>
        </w:tc>
        <w:tc>
          <w:tcPr>
            <w:tcW w:w="960" w:type="dxa"/>
            <w:tcBorders>
              <w:top w:val="single" w:sz="4" w:space="0" w:color="auto"/>
              <w:left w:val="nil"/>
              <w:bottom w:val="single" w:sz="4" w:space="0" w:color="auto"/>
              <w:right w:val="single" w:sz="4" w:space="0" w:color="auto"/>
            </w:tcBorders>
            <w:shd w:val="clear" w:color="auto" w:fill="1F497D"/>
            <w:vAlign w:val="bottom"/>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0"/>
                <w:lang w:eastAsia="ru-RU"/>
              </w:rPr>
              <w:t>2015</w:t>
            </w:r>
          </w:p>
        </w:tc>
        <w:tc>
          <w:tcPr>
            <w:tcW w:w="960" w:type="dxa"/>
            <w:tcBorders>
              <w:top w:val="single" w:sz="4" w:space="0" w:color="auto"/>
              <w:left w:val="nil"/>
              <w:bottom w:val="single" w:sz="4" w:space="0" w:color="auto"/>
              <w:right w:val="single" w:sz="4" w:space="0" w:color="auto"/>
            </w:tcBorders>
            <w:shd w:val="clear" w:color="auto" w:fill="1F497D"/>
            <w:vAlign w:val="bottom"/>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0"/>
                <w:lang w:eastAsia="ru-RU"/>
              </w:rPr>
              <w:t>2016</w:t>
            </w:r>
          </w:p>
        </w:tc>
      </w:tr>
      <w:tr w:rsidR="00F51B81" w:rsidRPr="001F0139" w:rsidTr="002760F1">
        <w:trPr>
          <w:trHeight w:val="315"/>
          <w:jc w:val="center"/>
        </w:trPr>
        <w:tc>
          <w:tcPr>
            <w:tcW w:w="3760" w:type="dxa"/>
            <w:tcBorders>
              <w:top w:val="nil"/>
              <w:left w:val="single" w:sz="4" w:space="0" w:color="auto"/>
              <w:bottom w:val="single" w:sz="4" w:space="0" w:color="auto"/>
              <w:right w:val="single" w:sz="4" w:space="0" w:color="auto"/>
            </w:tcBorders>
            <w:vAlign w:val="bottom"/>
            <w:hideMark/>
          </w:tcPr>
          <w:p w:rsidR="00F51B81" w:rsidRPr="001F0139" w:rsidRDefault="00F51B81" w:rsidP="001F0139">
            <w:pPr>
              <w:spacing w:after="0" w:line="240" w:lineRule="auto"/>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0"/>
                <w:lang w:eastAsia="ru-RU"/>
              </w:rPr>
              <w:t>Крупный рогатый скот</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0"/>
                <w:lang w:eastAsia="ru-RU"/>
              </w:rPr>
              <w:t>3</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0"/>
                <w:lang w:eastAsia="ru-RU"/>
              </w:rPr>
              <w:t>2,7</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0"/>
                <w:lang w:eastAsia="ru-RU"/>
              </w:rPr>
              <w:t>2,5</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0"/>
                <w:lang w:eastAsia="ru-RU"/>
              </w:rPr>
              <w:t>2,2</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1F0139">
              <w:rPr>
                <w:rFonts w:ascii="Times New Roman" w:eastAsia="Times New Roman" w:hAnsi="Times New Roman" w:cs="Times New Roman"/>
                <w:color w:val="000000"/>
                <w:sz w:val="24"/>
                <w:szCs w:val="20"/>
                <w:lang w:eastAsia="ru-RU"/>
              </w:rPr>
              <w:t>2</w:t>
            </w:r>
          </w:p>
        </w:tc>
      </w:tr>
      <w:tr w:rsidR="00F51B81" w:rsidRPr="001F0139" w:rsidTr="002760F1">
        <w:trPr>
          <w:trHeight w:val="315"/>
          <w:jc w:val="center"/>
        </w:trPr>
        <w:tc>
          <w:tcPr>
            <w:tcW w:w="3760" w:type="dxa"/>
            <w:tcBorders>
              <w:top w:val="nil"/>
              <w:left w:val="single" w:sz="4" w:space="0" w:color="auto"/>
              <w:bottom w:val="single" w:sz="4" w:space="0" w:color="auto"/>
              <w:right w:val="single" w:sz="4" w:space="0" w:color="auto"/>
            </w:tcBorders>
            <w:vAlign w:val="bottom"/>
            <w:hideMark/>
          </w:tcPr>
          <w:p w:rsidR="00F51B81" w:rsidRPr="001F0139" w:rsidRDefault="00F51B81" w:rsidP="001F0139">
            <w:pPr>
              <w:spacing w:after="0" w:line="240" w:lineRule="auto"/>
              <w:rPr>
                <w:rFonts w:ascii="Times New Roman" w:eastAsia="Times New Roman" w:hAnsi="Times New Roman" w:cs="Times New Roman"/>
                <w:color w:val="000000"/>
                <w:sz w:val="24"/>
                <w:szCs w:val="20"/>
                <w:lang w:eastAsia="ru-RU"/>
              </w:rPr>
            </w:pPr>
            <w:r w:rsidRPr="001F0139">
              <w:rPr>
                <w:rFonts w:ascii="Times New Roman" w:eastAsia="Times New Roman" w:hAnsi="Times New Roman" w:cs="Times New Roman"/>
                <w:color w:val="000000"/>
                <w:sz w:val="24"/>
                <w:szCs w:val="20"/>
                <w:lang w:eastAsia="ru-RU"/>
              </w:rPr>
              <w:t>из них коровы</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0"/>
                <w:lang w:eastAsia="ru-RU"/>
              </w:rPr>
            </w:pPr>
            <w:r w:rsidRPr="001F0139">
              <w:rPr>
                <w:rFonts w:ascii="Times New Roman" w:eastAsia="Times New Roman" w:hAnsi="Times New Roman" w:cs="Times New Roman"/>
                <w:color w:val="000000"/>
                <w:sz w:val="24"/>
                <w:szCs w:val="20"/>
                <w:lang w:eastAsia="ru-RU"/>
              </w:rPr>
              <w:t>1,3</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0"/>
                <w:lang w:eastAsia="ru-RU"/>
              </w:rPr>
            </w:pPr>
            <w:r w:rsidRPr="001F0139">
              <w:rPr>
                <w:rFonts w:ascii="Times New Roman" w:eastAsia="Times New Roman" w:hAnsi="Times New Roman" w:cs="Times New Roman"/>
                <w:color w:val="000000"/>
                <w:sz w:val="24"/>
                <w:szCs w:val="20"/>
                <w:lang w:eastAsia="ru-RU"/>
              </w:rPr>
              <w:t>1,2</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0"/>
                <w:lang w:eastAsia="ru-RU"/>
              </w:rPr>
            </w:pPr>
            <w:r w:rsidRPr="001F0139">
              <w:rPr>
                <w:rFonts w:ascii="Times New Roman" w:eastAsia="Times New Roman" w:hAnsi="Times New Roman" w:cs="Times New Roman"/>
                <w:color w:val="000000"/>
                <w:sz w:val="24"/>
                <w:szCs w:val="20"/>
                <w:lang w:eastAsia="ru-RU"/>
              </w:rPr>
              <w:t>1</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0"/>
                <w:lang w:eastAsia="ru-RU"/>
              </w:rPr>
            </w:pPr>
            <w:r w:rsidRPr="001F0139">
              <w:rPr>
                <w:rFonts w:ascii="Times New Roman" w:eastAsia="Times New Roman" w:hAnsi="Times New Roman" w:cs="Times New Roman"/>
                <w:color w:val="000000"/>
                <w:sz w:val="24"/>
                <w:szCs w:val="20"/>
                <w:lang w:eastAsia="ru-RU"/>
              </w:rPr>
              <w:t>0,9</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0"/>
                <w:lang w:eastAsia="ru-RU"/>
              </w:rPr>
            </w:pPr>
            <w:r w:rsidRPr="001F0139">
              <w:rPr>
                <w:rFonts w:ascii="Times New Roman" w:eastAsia="Times New Roman" w:hAnsi="Times New Roman" w:cs="Times New Roman"/>
                <w:color w:val="000000"/>
                <w:sz w:val="24"/>
                <w:szCs w:val="20"/>
                <w:lang w:eastAsia="ru-RU"/>
              </w:rPr>
              <w:t>0,9</w:t>
            </w:r>
          </w:p>
        </w:tc>
      </w:tr>
      <w:tr w:rsidR="00F51B81" w:rsidRPr="001F0139" w:rsidTr="002760F1">
        <w:trPr>
          <w:trHeight w:val="315"/>
          <w:jc w:val="center"/>
        </w:trPr>
        <w:tc>
          <w:tcPr>
            <w:tcW w:w="3760" w:type="dxa"/>
            <w:tcBorders>
              <w:top w:val="nil"/>
              <w:left w:val="single" w:sz="4" w:space="0" w:color="auto"/>
              <w:bottom w:val="single" w:sz="4" w:space="0" w:color="auto"/>
              <w:right w:val="single" w:sz="4" w:space="0" w:color="auto"/>
            </w:tcBorders>
            <w:vAlign w:val="bottom"/>
            <w:hideMark/>
          </w:tcPr>
          <w:p w:rsidR="00F51B81" w:rsidRPr="001F0139" w:rsidRDefault="00F51B81" w:rsidP="001F0139">
            <w:pPr>
              <w:spacing w:after="0" w:line="240" w:lineRule="auto"/>
              <w:rPr>
                <w:rFonts w:ascii="Times New Roman" w:eastAsia="Times New Roman" w:hAnsi="Times New Roman" w:cs="Times New Roman"/>
                <w:color w:val="000000"/>
                <w:sz w:val="24"/>
                <w:szCs w:val="20"/>
                <w:lang w:eastAsia="ru-RU"/>
              </w:rPr>
            </w:pPr>
            <w:r w:rsidRPr="001F0139">
              <w:rPr>
                <w:rFonts w:ascii="Times New Roman" w:eastAsia="Times New Roman" w:hAnsi="Times New Roman" w:cs="Times New Roman"/>
                <w:color w:val="000000"/>
                <w:sz w:val="24"/>
                <w:szCs w:val="20"/>
                <w:lang w:eastAsia="ru-RU"/>
              </w:rPr>
              <w:t>Свиньи</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0"/>
                <w:lang w:eastAsia="ru-RU"/>
              </w:rPr>
            </w:pPr>
            <w:r w:rsidRPr="001F0139">
              <w:rPr>
                <w:rFonts w:ascii="Times New Roman" w:eastAsia="Times New Roman" w:hAnsi="Times New Roman" w:cs="Times New Roman"/>
                <w:color w:val="000000"/>
                <w:sz w:val="24"/>
                <w:szCs w:val="20"/>
                <w:lang w:eastAsia="ru-RU"/>
              </w:rPr>
              <w:t>0,1</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0"/>
                <w:lang w:eastAsia="ru-RU"/>
              </w:rPr>
            </w:pPr>
            <w:r w:rsidRPr="001F0139">
              <w:rPr>
                <w:rFonts w:ascii="Times New Roman" w:eastAsia="Times New Roman" w:hAnsi="Times New Roman" w:cs="Times New Roman"/>
                <w:color w:val="000000"/>
                <w:sz w:val="24"/>
                <w:szCs w:val="20"/>
                <w:lang w:eastAsia="ru-RU"/>
              </w:rPr>
              <w:t>0,1</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0"/>
                <w:lang w:eastAsia="ru-RU"/>
              </w:rPr>
            </w:pPr>
            <w:r w:rsidRPr="001F0139">
              <w:rPr>
                <w:rFonts w:ascii="Times New Roman" w:eastAsia="Times New Roman" w:hAnsi="Times New Roman" w:cs="Times New Roman"/>
                <w:color w:val="000000"/>
                <w:sz w:val="24"/>
                <w:szCs w:val="20"/>
                <w:lang w:eastAsia="ru-RU"/>
              </w:rPr>
              <w:t>0,1</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0"/>
                <w:lang w:eastAsia="ru-RU"/>
              </w:rPr>
            </w:pPr>
            <w:r w:rsidRPr="001F0139">
              <w:rPr>
                <w:rFonts w:ascii="Times New Roman" w:eastAsia="Times New Roman" w:hAnsi="Times New Roman" w:cs="Times New Roman"/>
                <w:color w:val="000000"/>
                <w:sz w:val="24"/>
                <w:szCs w:val="20"/>
                <w:lang w:eastAsia="ru-RU"/>
              </w:rPr>
              <w:t>0,1</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0"/>
                <w:lang w:eastAsia="ru-RU"/>
              </w:rPr>
            </w:pPr>
            <w:r w:rsidRPr="001F0139">
              <w:rPr>
                <w:rFonts w:ascii="Times New Roman" w:eastAsia="Times New Roman" w:hAnsi="Times New Roman" w:cs="Times New Roman"/>
                <w:color w:val="000000"/>
                <w:sz w:val="24"/>
                <w:szCs w:val="20"/>
                <w:lang w:eastAsia="ru-RU"/>
              </w:rPr>
              <w:t>0,1</w:t>
            </w:r>
          </w:p>
        </w:tc>
      </w:tr>
      <w:tr w:rsidR="00F51B81" w:rsidRPr="001F0139" w:rsidTr="002760F1">
        <w:trPr>
          <w:trHeight w:val="315"/>
          <w:jc w:val="center"/>
        </w:trPr>
        <w:tc>
          <w:tcPr>
            <w:tcW w:w="3760" w:type="dxa"/>
            <w:tcBorders>
              <w:top w:val="nil"/>
              <w:left w:val="single" w:sz="4" w:space="0" w:color="auto"/>
              <w:bottom w:val="single" w:sz="4" w:space="0" w:color="auto"/>
              <w:right w:val="single" w:sz="4" w:space="0" w:color="auto"/>
            </w:tcBorders>
            <w:vAlign w:val="bottom"/>
            <w:hideMark/>
          </w:tcPr>
          <w:p w:rsidR="00F51B81" w:rsidRPr="001F0139" w:rsidRDefault="00F51B81" w:rsidP="001F0139">
            <w:pPr>
              <w:spacing w:after="0" w:line="240" w:lineRule="auto"/>
              <w:rPr>
                <w:rFonts w:ascii="Times New Roman" w:eastAsia="Times New Roman" w:hAnsi="Times New Roman" w:cs="Times New Roman"/>
                <w:color w:val="000000"/>
                <w:sz w:val="24"/>
                <w:szCs w:val="20"/>
                <w:lang w:eastAsia="ru-RU"/>
              </w:rPr>
            </w:pPr>
            <w:r w:rsidRPr="001F0139">
              <w:rPr>
                <w:rFonts w:ascii="Times New Roman" w:eastAsia="Times New Roman" w:hAnsi="Times New Roman" w:cs="Times New Roman"/>
                <w:color w:val="000000"/>
                <w:sz w:val="24"/>
                <w:szCs w:val="20"/>
                <w:lang w:eastAsia="ru-RU"/>
              </w:rPr>
              <w:t>Овцы и козы</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0"/>
                <w:lang w:eastAsia="ru-RU"/>
              </w:rPr>
            </w:pPr>
            <w:r w:rsidRPr="001F0139">
              <w:rPr>
                <w:rFonts w:ascii="Times New Roman" w:eastAsia="Times New Roman" w:hAnsi="Times New Roman" w:cs="Times New Roman"/>
                <w:color w:val="000000"/>
                <w:sz w:val="24"/>
                <w:szCs w:val="20"/>
                <w:lang w:eastAsia="ru-RU"/>
              </w:rPr>
              <w:t>1,8</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0"/>
                <w:lang w:eastAsia="ru-RU"/>
              </w:rPr>
            </w:pPr>
            <w:r w:rsidRPr="001F0139">
              <w:rPr>
                <w:rFonts w:ascii="Times New Roman" w:eastAsia="Times New Roman" w:hAnsi="Times New Roman" w:cs="Times New Roman"/>
                <w:color w:val="000000"/>
                <w:sz w:val="24"/>
                <w:szCs w:val="20"/>
                <w:lang w:eastAsia="ru-RU"/>
              </w:rPr>
              <w:t>2,1</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0"/>
                <w:lang w:eastAsia="ru-RU"/>
              </w:rPr>
            </w:pPr>
            <w:r w:rsidRPr="001F0139">
              <w:rPr>
                <w:rFonts w:ascii="Times New Roman" w:eastAsia="Times New Roman" w:hAnsi="Times New Roman" w:cs="Times New Roman"/>
                <w:color w:val="000000"/>
                <w:sz w:val="24"/>
                <w:szCs w:val="20"/>
                <w:lang w:eastAsia="ru-RU"/>
              </w:rPr>
              <w:t>2,3</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0"/>
                <w:lang w:eastAsia="ru-RU"/>
              </w:rPr>
            </w:pPr>
            <w:r w:rsidRPr="001F0139">
              <w:rPr>
                <w:rFonts w:ascii="Times New Roman" w:eastAsia="Times New Roman" w:hAnsi="Times New Roman" w:cs="Times New Roman"/>
                <w:color w:val="000000"/>
                <w:sz w:val="24"/>
                <w:szCs w:val="20"/>
                <w:lang w:eastAsia="ru-RU"/>
              </w:rPr>
              <w:t>2,1</w:t>
            </w:r>
          </w:p>
        </w:tc>
        <w:tc>
          <w:tcPr>
            <w:tcW w:w="960" w:type="dxa"/>
            <w:tcBorders>
              <w:top w:val="nil"/>
              <w:left w:val="nil"/>
              <w:bottom w:val="single" w:sz="4" w:space="0" w:color="auto"/>
              <w:right w:val="single" w:sz="4" w:space="0" w:color="auto"/>
            </w:tcBorders>
            <w:vAlign w:val="bottom"/>
            <w:hideMark/>
          </w:tcPr>
          <w:p w:rsidR="00F51B81" w:rsidRPr="001F0139" w:rsidRDefault="00F51B81" w:rsidP="001F0139">
            <w:pPr>
              <w:spacing w:after="0" w:line="240" w:lineRule="auto"/>
              <w:jc w:val="center"/>
              <w:rPr>
                <w:rFonts w:ascii="Times New Roman" w:eastAsia="Times New Roman" w:hAnsi="Times New Roman" w:cs="Times New Roman"/>
                <w:color w:val="000000"/>
                <w:sz w:val="24"/>
                <w:szCs w:val="20"/>
                <w:lang w:eastAsia="ru-RU"/>
              </w:rPr>
            </w:pPr>
            <w:r w:rsidRPr="001F0139">
              <w:rPr>
                <w:rFonts w:ascii="Times New Roman" w:eastAsia="Times New Roman" w:hAnsi="Times New Roman" w:cs="Times New Roman"/>
                <w:color w:val="000000"/>
                <w:sz w:val="24"/>
                <w:szCs w:val="20"/>
                <w:lang w:eastAsia="ru-RU"/>
              </w:rPr>
              <w:t>2,3</w:t>
            </w:r>
          </w:p>
        </w:tc>
      </w:tr>
    </w:tbl>
    <w:p w:rsidR="00F51B81" w:rsidRPr="001F0139" w:rsidRDefault="00F51B81" w:rsidP="001F0139">
      <w:pPr>
        <w:spacing w:after="0" w:line="240" w:lineRule="auto"/>
        <w:ind w:firstLine="426"/>
        <w:jc w:val="both"/>
        <w:rPr>
          <w:rFonts w:ascii="Times New Roman" w:hAnsi="Times New Roman" w:cs="Times New Roman"/>
          <w:sz w:val="20"/>
          <w:szCs w:val="20"/>
        </w:rPr>
      </w:pPr>
      <w:r w:rsidRPr="001F0139">
        <w:rPr>
          <w:rFonts w:ascii="Times New Roman" w:hAnsi="Times New Roman" w:cs="Times New Roman"/>
          <w:sz w:val="20"/>
          <w:szCs w:val="20"/>
        </w:rPr>
        <w:t>Источники: Муниципальные районы Самарской области, 2017. Статистический сборник</w:t>
      </w:r>
    </w:p>
    <w:p w:rsidR="00F51B81" w:rsidRPr="001F0139" w:rsidRDefault="00F51B81" w:rsidP="001F0139">
      <w:pPr>
        <w:spacing w:after="0" w:line="360" w:lineRule="auto"/>
        <w:ind w:firstLine="709"/>
        <w:jc w:val="center"/>
        <w:rPr>
          <w:rFonts w:ascii="Times New Roman" w:hAnsi="Times New Roman" w:cs="Times New Roman"/>
          <w:b/>
          <w:color w:val="000000"/>
          <w:sz w:val="28"/>
          <w:szCs w:val="28"/>
          <w:shd w:val="clear" w:color="auto" w:fill="FFFFFF"/>
        </w:rPr>
      </w:pP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Сельскохозяйственные организации района в подавляющем большинстве работают с прибылью. По итогам работы за 2012-2016 гг. сельскохозяйственные предприятия имеют положительный финансовый результат (прибыль в 2016г. – 4902 тыс. руб.). Однако, динамика роста прибыли неустойчива (рис. 1.5.7). Резкое снижение значения данного показателя наблюдалось в 2015 г. (почти в 3 раза по сравнению с 2014 г.). Такая же динамика прослеживается по уровню рентабельности сельскохозяйственных предприятий района (увеличение с 9,1% в 2012 г. до 11,8% в 2016 г. с резким снижением до 6,1% в 2015 г.).</w:t>
      </w:r>
    </w:p>
    <w:p w:rsidR="00F51B81" w:rsidRPr="001F0139" w:rsidRDefault="00F51B81" w:rsidP="001F0139">
      <w:pPr>
        <w:spacing w:after="0" w:line="240" w:lineRule="auto"/>
        <w:jc w:val="center"/>
        <w:rPr>
          <w:rFonts w:ascii="Times New Roman" w:hAnsi="Times New Roman" w:cs="Times New Roman"/>
          <w:b/>
          <w:sz w:val="28"/>
          <w:szCs w:val="28"/>
        </w:rPr>
      </w:pPr>
      <w:r w:rsidRPr="001F0139">
        <w:rPr>
          <w:rFonts w:ascii="Times New Roman" w:hAnsi="Times New Roman" w:cs="Times New Roman"/>
          <w:b/>
          <w:noProof/>
          <w:color w:val="FF0000"/>
          <w:sz w:val="28"/>
          <w:szCs w:val="28"/>
          <w:lang w:eastAsia="ru-RU"/>
        </w:rPr>
        <w:drawing>
          <wp:inline distT="0" distB="0" distL="0" distR="0">
            <wp:extent cx="5258054" cy="2682240"/>
            <wp:effectExtent l="19050" t="0" r="18796" b="3810"/>
            <wp:docPr id="32"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51B81" w:rsidRPr="001F0139" w:rsidRDefault="00F51B81" w:rsidP="001F0139">
      <w:pPr>
        <w:spacing w:after="0" w:line="240" w:lineRule="auto"/>
        <w:jc w:val="center"/>
        <w:rPr>
          <w:rFonts w:ascii="Times New Roman" w:hAnsi="Times New Roman" w:cs="Times New Roman"/>
          <w:b/>
          <w:color w:val="000000"/>
          <w:sz w:val="28"/>
          <w:szCs w:val="28"/>
          <w:shd w:val="clear" w:color="auto" w:fill="FFFFFF"/>
        </w:rPr>
      </w:pPr>
      <w:r w:rsidRPr="001F0139">
        <w:rPr>
          <w:rFonts w:ascii="Times New Roman" w:hAnsi="Times New Roman" w:cs="Times New Roman"/>
          <w:b/>
          <w:color w:val="000000"/>
          <w:sz w:val="28"/>
          <w:szCs w:val="28"/>
          <w:shd w:val="clear" w:color="auto" w:fill="FFFFFF"/>
        </w:rPr>
        <w:t>Рисунок 1.5.7 - Прибыль (убыток) сельскохозяйственных предприятий Камышлинского района в 2012-2016 гг. (тыс. руб.)</w:t>
      </w:r>
    </w:p>
    <w:p w:rsidR="00F51B81" w:rsidRPr="001F0139" w:rsidRDefault="00F51B81" w:rsidP="001F0139">
      <w:pPr>
        <w:spacing w:after="0" w:line="240" w:lineRule="auto"/>
        <w:jc w:val="center"/>
        <w:rPr>
          <w:rFonts w:ascii="Times New Roman" w:hAnsi="Times New Roman" w:cs="Times New Roman"/>
          <w:b/>
          <w:color w:val="000000"/>
          <w:sz w:val="28"/>
          <w:szCs w:val="28"/>
          <w:shd w:val="clear" w:color="auto" w:fill="FFFFFF"/>
        </w:rPr>
      </w:pP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К положительным изменениям за рассматриваемый период стоит отнести уменьшение степени износа основных фондов (с 59% в 2012 г. до 49% в 2016 г.), увеличение показателей продуктивности (надой молока на одну фуражную корову увеличился в 2016 г. в 1,5 раз по сравнению с 2012 г., среднесуточный привес крупного рогатого скота в 2012 г. составлял 632 грамма, а в 2016 г. – 707 грамм</w:t>
      </w:r>
      <w:r w:rsidR="009D346D">
        <w:rPr>
          <w:rFonts w:ascii="Times New Roman" w:hAnsi="Times New Roman" w:cs="Times New Roman"/>
          <w:sz w:val="28"/>
          <w:szCs w:val="28"/>
        </w:rPr>
        <w:t>ов</w:t>
      </w:r>
      <w:r w:rsidRPr="001F0139">
        <w:rPr>
          <w:rFonts w:ascii="Times New Roman" w:hAnsi="Times New Roman" w:cs="Times New Roman"/>
          <w:sz w:val="28"/>
          <w:szCs w:val="28"/>
        </w:rPr>
        <w:t>).</w:t>
      </w: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Важным направлением развития агропромышленного комплекса является стимулирование развития малых форм хозяйствования и личных подсобных хозяйств. С 2012 по 2017 годы получателями гранта стали 10 начинающих фермеров, участвовавших в областном мероприятии «Развитие малых форм хозяйствования» государственной программы Самарской области «Развитие сельского хозяйства и регулирование рынков сельскохозяйственной продукции, сырья и продовольствия Самарской области» на 2014–2020 годы.</w:t>
      </w: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Камышлинском районе продолжается субсидирование процентных ставок по краткосрочным, среднесрочным и долгосрочным кредитам малым формам хозяйствования – КФХ и ЛПХ. Благодаря субсидированию семян элиты зерновых и зернобобовых культур из областного и федерального бюджетов за последние годы хозяйства района значительно улучшили качество и репродуктивный состав высеваемых семян. Это стало одним из главных факторов в деле увеличения урожайности сельскохозяйственных культур последних лет в районе.</w:t>
      </w: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Важный вклад в развитие сельского хозяйства вносят личные подсобные хозяйства. Всего в Камышлинском районе насчитывается 4400 подворий. За последние годы многие семьи района не только создали, но и приумножили свои хозяйства. </w:t>
      </w:r>
    </w:p>
    <w:p w:rsidR="00F51B81" w:rsidRPr="001F0139" w:rsidRDefault="00F51B81" w:rsidP="001F0139">
      <w:pPr>
        <w:spacing w:after="0" w:line="360" w:lineRule="auto"/>
        <w:ind w:firstLine="709"/>
        <w:contextualSpacing/>
        <w:rPr>
          <w:rFonts w:ascii="Times New Roman" w:hAnsi="Times New Roman" w:cs="Times New Roman"/>
          <w:sz w:val="28"/>
          <w:szCs w:val="28"/>
        </w:rPr>
      </w:pPr>
      <w:r w:rsidRPr="001F0139">
        <w:rPr>
          <w:rFonts w:ascii="Times New Roman" w:hAnsi="Times New Roman" w:cs="Times New Roman"/>
          <w:sz w:val="28"/>
          <w:szCs w:val="28"/>
        </w:rPr>
        <w:br w:type="page"/>
      </w:r>
    </w:p>
    <w:p w:rsidR="00F51B81" w:rsidRPr="001F0139" w:rsidRDefault="00F51B81" w:rsidP="001F0139">
      <w:pPr>
        <w:spacing w:after="0" w:line="360" w:lineRule="auto"/>
        <w:contextualSpacing/>
        <w:outlineLvl w:val="2"/>
        <w:rPr>
          <w:rFonts w:ascii="Times New Roman" w:hAnsi="Times New Roman" w:cs="Times New Roman"/>
          <w:b/>
          <w:color w:val="365F91"/>
          <w:sz w:val="28"/>
          <w:szCs w:val="28"/>
        </w:rPr>
      </w:pPr>
      <w:bookmarkStart w:id="32" w:name="_Toc520894840"/>
      <w:r w:rsidRPr="001F0139">
        <w:rPr>
          <w:rFonts w:ascii="Times New Roman" w:hAnsi="Times New Roman" w:cs="Times New Roman"/>
          <w:b/>
          <w:color w:val="365F91"/>
          <w:sz w:val="28"/>
          <w:szCs w:val="28"/>
        </w:rPr>
        <w:lastRenderedPageBreak/>
        <w:t>Развитие малого и среднего бизнеса</w:t>
      </w:r>
      <w:bookmarkEnd w:id="32"/>
    </w:p>
    <w:p w:rsidR="00F51B81" w:rsidRPr="001F0139" w:rsidRDefault="00F51B81" w:rsidP="001F0139">
      <w:pPr>
        <w:spacing w:after="0" w:line="360" w:lineRule="auto"/>
        <w:ind w:firstLine="709"/>
        <w:contextualSpacing/>
        <w:rPr>
          <w:rFonts w:ascii="Times New Roman" w:hAnsi="Times New Roman" w:cs="Times New Roman"/>
          <w:sz w:val="28"/>
          <w:szCs w:val="28"/>
        </w:rPr>
      </w:pPr>
    </w:p>
    <w:p w:rsidR="00F51B81" w:rsidRPr="001F0139" w:rsidRDefault="00F51B81" w:rsidP="001F0139">
      <w:pPr>
        <w:spacing w:after="0" w:line="360" w:lineRule="auto"/>
        <w:ind w:firstLine="709"/>
        <w:jc w:val="both"/>
        <w:rPr>
          <w:rFonts w:ascii="Times New Roman" w:eastAsia="Times New Roman" w:hAnsi="Times New Roman" w:cs="Times New Roman"/>
          <w:color w:val="000000"/>
          <w:kern w:val="2"/>
          <w:sz w:val="28"/>
          <w:szCs w:val="28"/>
        </w:rPr>
      </w:pPr>
      <w:r w:rsidRPr="001F0139">
        <w:rPr>
          <w:rFonts w:ascii="Times New Roman" w:eastAsia="Times New Roman" w:hAnsi="Times New Roman" w:cs="Times New Roman"/>
          <w:color w:val="000000"/>
          <w:kern w:val="2"/>
          <w:sz w:val="28"/>
          <w:szCs w:val="28"/>
        </w:rPr>
        <w:t xml:space="preserve">По состоянию на 1 января 2018 года на территории района действуют 19 малых предприятий и 211 индивидуальных предпринимателей. В структуре субъектов малого предпринимательства наибольший удельный вес занимают оптовая и розничная торговля и услуги по ремонту (50%), с большим отрывом отстает сельскохозяйственное производство (15%), транспорт и связь (9%), гостиницы и рестораны и обрабатывающие производства (по 7%) и т.д. (рис. 1.5.8). </w:t>
      </w:r>
    </w:p>
    <w:p w:rsidR="00F51B81" w:rsidRPr="001F0139" w:rsidRDefault="00F51B81"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b/>
          <w:noProof/>
          <w:sz w:val="28"/>
          <w:szCs w:val="28"/>
          <w:lang w:eastAsia="ru-RU"/>
        </w:rPr>
        <w:drawing>
          <wp:inline distT="0" distB="0" distL="0" distR="0">
            <wp:extent cx="5703697" cy="3517392"/>
            <wp:effectExtent l="0" t="0" r="0" b="0"/>
            <wp:docPr id="33" name="Рисунок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51B81" w:rsidRPr="001F0139" w:rsidRDefault="00F51B81" w:rsidP="001F0139">
      <w:pPr>
        <w:spacing w:after="0" w:line="240" w:lineRule="auto"/>
        <w:jc w:val="both"/>
        <w:rPr>
          <w:rFonts w:ascii="Times New Roman" w:hAnsi="Times New Roman" w:cs="Times New Roman"/>
          <w:sz w:val="20"/>
          <w:szCs w:val="20"/>
        </w:rPr>
      </w:pPr>
      <w:r w:rsidRPr="001F0139">
        <w:rPr>
          <w:rFonts w:ascii="Times New Roman" w:hAnsi="Times New Roman" w:cs="Times New Roman"/>
          <w:sz w:val="20"/>
          <w:szCs w:val="20"/>
        </w:rPr>
        <w:t>Источники: Муниципальные районы Самарской области, 2017. Статистический сборник</w:t>
      </w:r>
    </w:p>
    <w:p w:rsidR="00F51B81" w:rsidRPr="001F0139" w:rsidRDefault="00F51B81" w:rsidP="001F0139">
      <w:pPr>
        <w:spacing w:after="0" w:line="240" w:lineRule="auto"/>
        <w:jc w:val="center"/>
        <w:rPr>
          <w:rFonts w:ascii="Times New Roman" w:hAnsi="Times New Roman" w:cs="Times New Roman"/>
          <w:b/>
          <w:bCs/>
          <w:color w:val="000000"/>
          <w:sz w:val="28"/>
          <w:szCs w:val="28"/>
          <w:shd w:val="clear" w:color="auto" w:fill="FFFFFF"/>
        </w:rPr>
      </w:pPr>
      <w:r w:rsidRPr="001F0139">
        <w:rPr>
          <w:rFonts w:ascii="Times New Roman" w:hAnsi="Times New Roman" w:cs="Times New Roman"/>
          <w:b/>
          <w:color w:val="000000"/>
          <w:sz w:val="28"/>
          <w:szCs w:val="28"/>
          <w:shd w:val="clear" w:color="auto" w:fill="FFFFFF"/>
        </w:rPr>
        <w:t xml:space="preserve">Рисунок 1.5.8 - </w:t>
      </w:r>
      <w:r w:rsidRPr="001F0139">
        <w:rPr>
          <w:rFonts w:ascii="Times New Roman" w:hAnsi="Times New Roman" w:cs="Times New Roman"/>
          <w:b/>
          <w:bCs/>
          <w:color w:val="000000"/>
          <w:sz w:val="28"/>
          <w:szCs w:val="28"/>
          <w:shd w:val="clear" w:color="auto" w:fill="FFFFFF"/>
        </w:rPr>
        <w:t>Распределение индивидуальных предпринимателей по видам экономической деятельности Камышлинского района, %</w:t>
      </w:r>
    </w:p>
    <w:p w:rsidR="00F51B81" w:rsidRPr="001F0139" w:rsidRDefault="00F51B81" w:rsidP="001F0139">
      <w:pPr>
        <w:spacing w:after="0" w:line="240" w:lineRule="auto"/>
        <w:jc w:val="center"/>
        <w:rPr>
          <w:rFonts w:ascii="Times New Roman" w:hAnsi="Times New Roman" w:cs="Times New Roman"/>
          <w:b/>
          <w:bCs/>
          <w:color w:val="000000"/>
          <w:sz w:val="28"/>
          <w:szCs w:val="28"/>
          <w:shd w:val="clear" w:color="auto" w:fill="FFFFFF"/>
        </w:rPr>
      </w:pPr>
    </w:p>
    <w:p w:rsidR="00F51B81" w:rsidRPr="001F0139" w:rsidRDefault="00F51B81" w:rsidP="001F0139">
      <w:pPr>
        <w:shd w:val="clear" w:color="auto" w:fill="FFFFFF"/>
        <w:spacing w:after="0" w:line="360" w:lineRule="auto"/>
        <w:ind w:firstLine="709"/>
        <w:jc w:val="both"/>
        <w:rPr>
          <w:rFonts w:ascii="Times New Roman" w:eastAsia="Times New Roman" w:hAnsi="Times New Roman" w:cs="Times New Roman"/>
          <w:bCs/>
          <w:sz w:val="28"/>
          <w:szCs w:val="28"/>
          <w:shd w:val="clear" w:color="auto" w:fill="FFFFFF"/>
          <w:lang w:eastAsia="ru-RU"/>
        </w:rPr>
      </w:pPr>
      <w:r w:rsidRPr="001F0139">
        <w:rPr>
          <w:rFonts w:ascii="Times New Roman" w:eastAsia="Times New Roman" w:hAnsi="Times New Roman" w:cs="Times New Roman"/>
          <w:bCs/>
          <w:sz w:val="28"/>
          <w:szCs w:val="28"/>
          <w:shd w:val="clear" w:color="auto" w:fill="FFFFFF"/>
          <w:lang w:eastAsia="ru-RU"/>
        </w:rPr>
        <w:t xml:space="preserve">По результатам мониторинга эффективности деятельности органов местного самоуправления </w:t>
      </w:r>
      <w:r w:rsidR="004E1324">
        <w:rPr>
          <w:rFonts w:ascii="Times New Roman" w:eastAsia="Times New Roman" w:hAnsi="Times New Roman" w:cs="Times New Roman"/>
          <w:bCs/>
          <w:sz w:val="28"/>
          <w:szCs w:val="28"/>
          <w:shd w:val="clear" w:color="auto" w:fill="FFFFFF"/>
          <w:lang w:eastAsia="ru-RU"/>
        </w:rPr>
        <w:t>город</w:t>
      </w:r>
      <w:r w:rsidRPr="001F0139">
        <w:rPr>
          <w:rFonts w:ascii="Times New Roman" w:eastAsia="Times New Roman" w:hAnsi="Times New Roman" w:cs="Times New Roman"/>
          <w:bCs/>
          <w:sz w:val="28"/>
          <w:szCs w:val="28"/>
          <w:shd w:val="clear" w:color="auto" w:fill="FFFFFF"/>
          <w:lang w:eastAsia="ru-RU"/>
        </w:rPr>
        <w:t xml:space="preserve">ских округов и муниципальных районов в Самарской области за 2016 г. Камышлинский район по показателю плотности субъектов малого и среднего предпринимательства (МСП) отстает от среднеобластных значений (283,85 ед. на 10 тыс. человек) и характеризуется значением 252 ед. на 10 тыс. человек. Это больше значения </w:t>
      </w:r>
      <w:r w:rsidRPr="001F0139">
        <w:rPr>
          <w:rFonts w:ascii="Times New Roman" w:eastAsia="Times New Roman" w:hAnsi="Times New Roman" w:cs="Times New Roman"/>
          <w:bCs/>
          <w:sz w:val="28"/>
          <w:szCs w:val="28"/>
          <w:shd w:val="clear" w:color="auto" w:fill="FFFFFF"/>
          <w:lang w:eastAsia="ru-RU"/>
        </w:rPr>
        <w:lastRenderedPageBreak/>
        <w:t>2015 г. (248 ед.), но восстановить значения 2012 года (292 ед.) пока не удается (рис. 1.5.9).</w:t>
      </w:r>
    </w:p>
    <w:p w:rsidR="00F51B81" w:rsidRPr="001F0139" w:rsidRDefault="00F51B81" w:rsidP="001F0139">
      <w:pPr>
        <w:shd w:val="clear" w:color="auto" w:fill="FFFFFF"/>
        <w:spacing w:after="0" w:line="240" w:lineRule="auto"/>
        <w:jc w:val="center"/>
        <w:rPr>
          <w:rFonts w:ascii="Times New Roman" w:eastAsia="Times New Roman" w:hAnsi="Times New Roman" w:cs="Times New Roman"/>
          <w:bCs/>
          <w:sz w:val="28"/>
          <w:szCs w:val="28"/>
          <w:shd w:val="clear" w:color="auto" w:fill="FFFFFF"/>
          <w:lang w:eastAsia="ru-RU"/>
        </w:rPr>
      </w:pPr>
      <w:r w:rsidRPr="001F0139">
        <w:rPr>
          <w:rFonts w:ascii="Times New Roman" w:eastAsia="Times New Roman" w:hAnsi="Times New Roman" w:cs="Times New Roman"/>
          <w:noProof/>
          <w:sz w:val="28"/>
          <w:szCs w:val="28"/>
          <w:shd w:val="clear" w:color="auto" w:fill="FFFFFF"/>
          <w:lang w:eastAsia="ru-RU"/>
        </w:rPr>
        <w:drawing>
          <wp:inline distT="0" distB="0" distL="0" distR="0">
            <wp:extent cx="5711952" cy="2359152"/>
            <wp:effectExtent l="0" t="0" r="0" b="0"/>
            <wp:docPr id="3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51B81" w:rsidRPr="001F0139" w:rsidRDefault="00F51B81"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sz w:val="20"/>
          <w:szCs w:val="20"/>
        </w:rPr>
        <w:t>Источник: Доклад Главы Администрации муниципального района Камышлинский «О достигнутых значениях показателей для оценки эффективности деятельности органов местного самоуправления за 2016 год и их планируемых значениях на 3-х летний период (до 2019 года)</w:t>
      </w:r>
    </w:p>
    <w:p w:rsidR="00F51B81" w:rsidRPr="001F0139" w:rsidRDefault="00F51B81" w:rsidP="001F0139">
      <w:pPr>
        <w:spacing w:after="0" w:line="240" w:lineRule="auto"/>
        <w:jc w:val="center"/>
        <w:rPr>
          <w:rFonts w:ascii="Times New Roman" w:hAnsi="Times New Roman" w:cs="Times New Roman"/>
          <w:b/>
          <w:color w:val="000000"/>
          <w:sz w:val="28"/>
          <w:szCs w:val="28"/>
          <w:shd w:val="clear" w:color="auto" w:fill="FFFFFF"/>
        </w:rPr>
      </w:pPr>
      <w:r w:rsidRPr="001F0139">
        <w:rPr>
          <w:rFonts w:ascii="Times New Roman" w:hAnsi="Times New Roman" w:cs="Times New Roman"/>
          <w:b/>
          <w:color w:val="000000"/>
          <w:sz w:val="28"/>
          <w:szCs w:val="28"/>
          <w:shd w:val="clear" w:color="auto" w:fill="FFFFFF"/>
        </w:rPr>
        <w:t>Рисунок 1.5.9 - Число субъектов малого и среднего предпринимательства в расчете на 10 тыс. человек населения в Камышлинском районе</w:t>
      </w:r>
    </w:p>
    <w:p w:rsidR="00F51B81" w:rsidRPr="001F0139" w:rsidRDefault="00F51B81" w:rsidP="001F0139">
      <w:pPr>
        <w:spacing w:after="0" w:line="240" w:lineRule="auto"/>
        <w:jc w:val="center"/>
        <w:rPr>
          <w:rFonts w:ascii="Times New Roman" w:hAnsi="Times New Roman" w:cs="Times New Roman"/>
          <w:b/>
          <w:color w:val="000000"/>
          <w:sz w:val="28"/>
          <w:szCs w:val="28"/>
          <w:shd w:val="clear" w:color="auto" w:fill="FFFFFF"/>
        </w:rPr>
      </w:pPr>
      <w:r w:rsidRPr="001F0139">
        <w:rPr>
          <w:rFonts w:ascii="Times New Roman" w:hAnsi="Times New Roman" w:cs="Times New Roman"/>
          <w:b/>
          <w:color w:val="000000"/>
          <w:sz w:val="28"/>
          <w:szCs w:val="28"/>
          <w:shd w:val="clear" w:color="auto" w:fill="FFFFFF"/>
        </w:rPr>
        <w:t>в 2012-2016 гг.</w:t>
      </w:r>
    </w:p>
    <w:p w:rsidR="00F51B81" w:rsidRPr="001F0139" w:rsidRDefault="00F51B81" w:rsidP="001F0139">
      <w:pPr>
        <w:spacing w:after="0" w:line="240" w:lineRule="auto"/>
        <w:jc w:val="center"/>
        <w:rPr>
          <w:rFonts w:ascii="Times New Roman" w:hAnsi="Times New Roman" w:cs="Times New Roman"/>
          <w:b/>
          <w:color w:val="000000"/>
          <w:sz w:val="28"/>
          <w:szCs w:val="28"/>
          <w:shd w:val="clear" w:color="auto" w:fill="FFFFFF"/>
        </w:rPr>
      </w:pPr>
    </w:p>
    <w:p w:rsidR="00F51B81" w:rsidRPr="001F0139" w:rsidRDefault="00F51B81" w:rsidP="001F0139">
      <w:pPr>
        <w:shd w:val="clear" w:color="auto" w:fill="FFFFFF"/>
        <w:spacing w:after="0" w:line="360" w:lineRule="auto"/>
        <w:ind w:firstLine="709"/>
        <w:jc w:val="both"/>
        <w:rPr>
          <w:rFonts w:ascii="Times New Roman" w:hAnsi="Times New Roman" w:cs="Times New Roman"/>
          <w:b/>
          <w:color w:val="000000"/>
          <w:sz w:val="28"/>
          <w:szCs w:val="28"/>
          <w:shd w:val="clear" w:color="auto" w:fill="FFFFFF"/>
        </w:rPr>
      </w:pPr>
      <w:r w:rsidRPr="001F0139">
        <w:rPr>
          <w:rFonts w:ascii="Times New Roman" w:eastAsia="Times New Roman" w:hAnsi="Times New Roman" w:cs="Times New Roman"/>
          <w:bCs/>
          <w:sz w:val="28"/>
          <w:szCs w:val="28"/>
          <w:shd w:val="clear" w:color="auto" w:fill="FFFFFF"/>
          <w:lang w:eastAsia="ru-RU"/>
        </w:rPr>
        <w:t>Аналогичная ситуация наблюдается по показателю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С 2012 г. значение данного показателя уменьшилось более чем в 2 раза (рис. 1.5.10).</w:t>
      </w:r>
    </w:p>
    <w:p w:rsidR="00F51B81" w:rsidRPr="001F013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1F0139">
        <w:rPr>
          <w:rFonts w:ascii="Times New Roman" w:eastAsia="Times New Roman" w:hAnsi="Times New Roman" w:cs="Times New Roman"/>
          <w:b/>
          <w:noProof/>
          <w:color w:val="000000"/>
          <w:sz w:val="28"/>
          <w:szCs w:val="28"/>
          <w:shd w:val="clear" w:color="auto" w:fill="FFFFFF"/>
          <w:lang w:eastAsia="ru-RU"/>
        </w:rPr>
        <w:drawing>
          <wp:inline distT="0" distB="0" distL="0" distR="0">
            <wp:extent cx="5689346" cy="2244979"/>
            <wp:effectExtent l="0" t="0" r="0" b="0"/>
            <wp:docPr id="35"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51B81" w:rsidRPr="001F0139" w:rsidRDefault="00F51B81" w:rsidP="001F0139">
      <w:pPr>
        <w:spacing w:after="0" w:line="240" w:lineRule="auto"/>
        <w:jc w:val="both"/>
        <w:rPr>
          <w:rFonts w:ascii="Times New Roman" w:hAnsi="Times New Roman" w:cs="Times New Roman"/>
          <w:sz w:val="20"/>
          <w:szCs w:val="20"/>
        </w:rPr>
      </w:pPr>
      <w:r w:rsidRPr="001F0139">
        <w:rPr>
          <w:rFonts w:ascii="Times New Roman" w:hAnsi="Times New Roman" w:cs="Times New Roman"/>
          <w:sz w:val="20"/>
          <w:szCs w:val="20"/>
        </w:rPr>
        <w:t>Источник: Доклад Главы Администрации муниципального района Камышлинский «О достигнутых значениях показателей для оценки эффективности деятельности органов местного самоуправления за 2016 год и их планируемых значениях на 3-х летний период (до 2019 года)</w:t>
      </w:r>
    </w:p>
    <w:p w:rsidR="00F51B81" w:rsidRPr="001F013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1F0139">
        <w:rPr>
          <w:rFonts w:ascii="Times New Roman" w:eastAsia="Times New Roman" w:hAnsi="Times New Roman" w:cs="Times New Roman"/>
          <w:b/>
          <w:color w:val="000000"/>
          <w:sz w:val="28"/>
          <w:szCs w:val="28"/>
          <w:shd w:val="clear" w:color="auto" w:fill="FFFFFF"/>
          <w:lang w:eastAsia="ru-RU"/>
        </w:rPr>
        <w:t xml:space="preserve">Рисунок 1.5.10 - Доля среднесписочной численности малых и средних предприятий в среднесписочной численности работников </w:t>
      </w:r>
    </w:p>
    <w:p w:rsidR="00F51B81" w:rsidRPr="001F013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1F0139">
        <w:rPr>
          <w:rFonts w:ascii="Times New Roman" w:eastAsia="Times New Roman" w:hAnsi="Times New Roman" w:cs="Times New Roman"/>
          <w:b/>
          <w:color w:val="000000"/>
          <w:sz w:val="28"/>
          <w:szCs w:val="28"/>
          <w:shd w:val="clear" w:color="auto" w:fill="FFFFFF"/>
          <w:lang w:eastAsia="ru-RU"/>
        </w:rPr>
        <w:t>всех предприятий и организаций м.р. Камышлинский</w:t>
      </w:r>
    </w:p>
    <w:p w:rsidR="00F51B81" w:rsidRPr="001F0139" w:rsidRDefault="00F51B81" w:rsidP="001F0139">
      <w:pPr>
        <w:shd w:val="clear" w:color="auto" w:fill="FFFFFF"/>
        <w:spacing w:after="0" w:line="360" w:lineRule="auto"/>
        <w:ind w:firstLine="709"/>
        <w:jc w:val="both"/>
        <w:rPr>
          <w:rFonts w:ascii="Times New Roman" w:eastAsia="Times New Roman" w:hAnsi="Times New Roman" w:cs="Times New Roman"/>
          <w:bCs/>
          <w:sz w:val="28"/>
          <w:szCs w:val="28"/>
          <w:shd w:val="clear" w:color="auto" w:fill="FFFFFF"/>
          <w:lang w:eastAsia="ru-RU"/>
        </w:rPr>
      </w:pPr>
      <w:r w:rsidRPr="001F0139">
        <w:rPr>
          <w:rFonts w:ascii="Times New Roman" w:eastAsia="Times New Roman" w:hAnsi="Times New Roman" w:cs="Times New Roman"/>
          <w:bCs/>
          <w:sz w:val="28"/>
          <w:szCs w:val="28"/>
          <w:shd w:val="clear" w:color="auto" w:fill="FFFFFF"/>
          <w:lang w:eastAsia="ru-RU"/>
        </w:rPr>
        <w:lastRenderedPageBreak/>
        <w:t>По итогам 2012-2016 гг. по основным показателям развития субъектов МСП наблюдается тенденция снижения (табл. 1.5.5).</w:t>
      </w:r>
    </w:p>
    <w:p w:rsidR="00F51B81" w:rsidRPr="001F0139" w:rsidRDefault="00F51B81" w:rsidP="001F0139">
      <w:pPr>
        <w:shd w:val="clear" w:color="auto" w:fill="FFFFFF"/>
        <w:spacing w:after="0" w:line="240" w:lineRule="auto"/>
        <w:ind w:firstLine="709"/>
        <w:rPr>
          <w:rFonts w:ascii="Times New Roman" w:eastAsia="Times New Roman" w:hAnsi="Times New Roman" w:cs="Times New Roman"/>
          <w:b/>
          <w:sz w:val="28"/>
          <w:szCs w:val="28"/>
          <w:lang w:eastAsia="ru-RU"/>
        </w:rPr>
      </w:pPr>
    </w:p>
    <w:p w:rsidR="00F51B81" w:rsidRPr="001F0139" w:rsidRDefault="00F51B81" w:rsidP="001F0139">
      <w:pPr>
        <w:shd w:val="clear" w:color="auto" w:fill="FFFFFF"/>
        <w:spacing w:after="0" w:line="240" w:lineRule="auto"/>
        <w:rPr>
          <w:rFonts w:ascii="Times New Roman" w:eastAsia="Times New Roman" w:hAnsi="Times New Roman" w:cs="Times New Roman"/>
          <w:b/>
          <w:sz w:val="28"/>
          <w:szCs w:val="28"/>
          <w:lang w:eastAsia="ru-RU"/>
        </w:rPr>
      </w:pPr>
      <w:r w:rsidRPr="001F0139">
        <w:rPr>
          <w:rFonts w:ascii="Times New Roman" w:eastAsia="Times New Roman" w:hAnsi="Times New Roman" w:cs="Times New Roman"/>
          <w:b/>
          <w:sz w:val="28"/>
          <w:szCs w:val="28"/>
          <w:lang w:eastAsia="ru-RU"/>
        </w:rPr>
        <w:t xml:space="preserve">Таблица </w:t>
      </w:r>
      <w:r w:rsidRPr="001F0139">
        <w:rPr>
          <w:rFonts w:ascii="Times New Roman" w:eastAsia="Times New Roman" w:hAnsi="Times New Roman" w:cs="Times New Roman"/>
          <w:b/>
          <w:color w:val="000000"/>
          <w:sz w:val="28"/>
          <w:szCs w:val="28"/>
          <w:shd w:val="clear" w:color="auto" w:fill="FFFFFF"/>
          <w:lang w:eastAsia="ru-RU"/>
        </w:rPr>
        <w:t>1.5.5</w:t>
      </w:r>
      <w:r w:rsidRPr="001F0139">
        <w:rPr>
          <w:rFonts w:ascii="Times New Roman" w:eastAsia="Times New Roman" w:hAnsi="Times New Roman" w:cs="Times New Roman"/>
          <w:b/>
          <w:sz w:val="28"/>
          <w:szCs w:val="28"/>
          <w:lang w:eastAsia="ru-RU"/>
        </w:rPr>
        <w:t xml:space="preserve">- Основные показатели развития субъектов малого и </w:t>
      </w:r>
    </w:p>
    <w:p w:rsidR="00F51B81" w:rsidRPr="001F0139" w:rsidRDefault="00F51B81" w:rsidP="001F0139">
      <w:pPr>
        <w:shd w:val="clear" w:color="auto" w:fill="FFFFFF"/>
        <w:spacing w:after="0" w:line="240" w:lineRule="auto"/>
        <w:rPr>
          <w:rFonts w:ascii="Times New Roman" w:eastAsia="Times New Roman" w:hAnsi="Times New Roman" w:cs="Times New Roman"/>
          <w:b/>
          <w:bCs/>
          <w:sz w:val="28"/>
          <w:szCs w:val="28"/>
          <w:shd w:val="clear" w:color="auto" w:fill="FFFFFF"/>
          <w:lang w:eastAsia="ru-RU"/>
        </w:rPr>
      </w:pPr>
      <w:r w:rsidRPr="001F0139">
        <w:rPr>
          <w:rFonts w:ascii="Times New Roman" w:eastAsia="Times New Roman" w:hAnsi="Times New Roman" w:cs="Times New Roman"/>
          <w:b/>
          <w:sz w:val="28"/>
          <w:szCs w:val="28"/>
          <w:lang w:eastAsia="ru-RU"/>
        </w:rPr>
        <w:t>среднего предпринимательства</w:t>
      </w:r>
    </w:p>
    <w:tbl>
      <w:tblPr>
        <w:tblW w:w="9527" w:type="dxa"/>
        <w:tblInd w:w="103" w:type="dxa"/>
        <w:tblLook w:val="04A0" w:firstRow="1" w:lastRow="0" w:firstColumn="1" w:lastColumn="0" w:noHBand="0" w:noVBand="1"/>
      </w:tblPr>
      <w:tblGrid>
        <w:gridCol w:w="5817"/>
        <w:gridCol w:w="734"/>
        <w:gridCol w:w="708"/>
        <w:gridCol w:w="709"/>
        <w:gridCol w:w="741"/>
        <w:gridCol w:w="818"/>
      </w:tblGrid>
      <w:tr w:rsidR="00F51B81" w:rsidRPr="001F0139" w:rsidTr="002760F1">
        <w:trPr>
          <w:trHeight w:val="414"/>
          <w:tblHeader/>
        </w:trPr>
        <w:tc>
          <w:tcPr>
            <w:tcW w:w="5817" w:type="dxa"/>
            <w:vMerge w:val="restart"/>
            <w:tcBorders>
              <w:top w:val="single" w:sz="4" w:space="0" w:color="auto"/>
              <w:left w:val="single" w:sz="4" w:space="0" w:color="auto"/>
              <w:bottom w:val="single" w:sz="4" w:space="0" w:color="auto"/>
              <w:right w:val="single" w:sz="4" w:space="0" w:color="auto"/>
            </w:tcBorders>
            <w:shd w:val="clear" w:color="auto" w:fill="1F497D"/>
            <w:vAlign w:val="center"/>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Наименование показателей</w:t>
            </w:r>
          </w:p>
        </w:tc>
        <w:tc>
          <w:tcPr>
            <w:tcW w:w="3710" w:type="dxa"/>
            <w:gridSpan w:val="5"/>
            <w:vMerge w:val="restart"/>
            <w:tcBorders>
              <w:top w:val="single" w:sz="4" w:space="0" w:color="auto"/>
              <w:left w:val="single" w:sz="4" w:space="0" w:color="auto"/>
              <w:bottom w:val="single" w:sz="4" w:space="0" w:color="000000"/>
              <w:right w:val="single" w:sz="4" w:space="0" w:color="000000"/>
            </w:tcBorders>
            <w:shd w:val="clear" w:color="auto" w:fill="1F497D"/>
            <w:vAlign w:val="center"/>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Годы</w:t>
            </w:r>
          </w:p>
        </w:tc>
      </w:tr>
      <w:tr w:rsidR="00F51B81" w:rsidRPr="001F0139" w:rsidTr="002760F1">
        <w:trPr>
          <w:trHeight w:val="276"/>
          <w:tblHeader/>
        </w:trPr>
        <w:tc>
          <w:tcPr>
            <w:tcW w:w="5817" w:type="dxa"/>
            <w:vMerge/>
            <w:tcBorders>
              <w:top w:val="single" w:sz="4" w:space="0" w:color="auto"/>
              <w:left w:val="single" w:sz="4" w:space="0" w:color="auto"/>
              <w:bottom w:val="single" w:sz="4" w:space="0" w:color="auto"/>
              <w:right w:val="single" w:sz="4" w:space="0" w:color="auto"/>
            </w:tcBorders>
            <w:vAlign w:val="center"/>
            <w:hideMark/>
          </w:tcPr>
          <w:p w:rsidR="00F51B81" w:rsidRPr="001F0139" w:rsidRDefault="00F51B81" w:rsidP="001F0139">
            <w:pPr>
              <w:spacing w:after="0" w:line="240" w:lineRule="auto"/>
              <w:rPr>
                <w:rFonts w:ascii="Times New Roman" w:eastAsia="Times New Roman" w:hAnsi="Times New Roman" w:cs="Times New Roman"/>
                <w:b/>
                <w:bCs/>
                <w:color w:val="FFFFFF"/>
                <w:sz w:val="24"/>
                <w:szCs w:val="24"/>
                <w:lang w:eastAsia="ru-RU"/>
              </w:rPr>
            </w:pPr>
          </w:p>
        </w:tc>
        <w:tc>
          <w:tcPr>
            <w:tcW w:w="3710" w:type="dxa"/>
            <w:gridSpan w:val="5"/>
            <w:vMerge/>
            <w:tcBorders>
              <w:top w:val="single" w:sz="4" w:space="0" w:color="auto"/>
              <w:left w:val="single" w:sz="4" w:space="0" w:color="auto"/>
              <w:bottom w:val="single" w:sz="4" w:space="0" w:color="000000"/>
              <w:right w:val="single" w:sz="4" w:space="0" w:color="000000"/>
            </w:tcBorders>
            <w:vAlign w:val="center"/>
            <w:hideMark/>
          </w:tcPr>
          <w:p w:rsidR="00F51B81" w:rsidRPr="001F0139" w:rsidRDefault="00F51B81" w:rsidP="001F0139">
            <w:pPr>
              <w:spacing w:after="0" w:line="240" w:lineRule="auto"/>
              <w:rPr>
                <w:rFonts w:ascii="Times New Roman" w:eastAsia="Times New Roman" w:hAnsi="Times New Roman" w:cs="Times New Roman"/>
                <w:b/>
                <w:bCs/>
                <w:color w:val="FFFFFF"/>
                <w:sz w:val="24"/>
                <w:szCs w:val="24"/>
                <w:lang w:eastAsia="ru-RU"/>
              </w:rPr>
            </w:pPr>
          </w:p>
        </w:tc>
      </w:tr>
      <w:tr w:rsidR="00F51B81" w:rsidRPr="001F0139" w:rsidTr="002760F1">
        <w:trPr>
          <w:trHeight w:val="480"/>
          <w:tblHeader/>
        </w:trPr>
        <w:tc>
          <w:tcPr>
            <w:tcW w:w="5817" w:type="dxa"/>
            <w:vMerge/>
            <w:tcBorders>
              <w:top w:val="single" w:sz="4" w:space="0" w:color="auto"/>
              <w:left w:val="single" w:sz="4" w:space="0" w:color="auto"/>
              <w:bottom w:val="single" w:sz="4" w:space="0" w:color="auto"/>
              <w:right w:val="single" w:sz="4" w:space="0" w:color="auto"/>
            </w:tcBorders>
            <w:vAlign w:val="center"/>
            <w:hideMark/>
          </w:tcPr>
          <w:p w:rsidR="00F51B81" w:rsidRPr="001F0139" w:rsidRDefault="00F51B81" w:rsidP="001F0139">
            <w:pPr>
              <w:spacing w:after="0" w:line="240" w:lineRule="auto"/>
              <w:rPr>
                <w:rFonts w:ascii="Times New Roman" w:eastAsia="Times New Roman" w:hAnsi="Times New Roman" w:cs="Times New Roman"/>
                <w:b/>
                <w:bCs/>
                <w:color w:val="FFFFFF"/>
                <w:sz w:val="24"/>
                <w:szCs w:val="24"/>
                <w:lang w:eastAsia="ru-RU"/>
              </w:rPr>
            </w:pPr>
          </w:p>
        </w:tc>
        <w:tc>
          <w:tcPr>
            <w:tcW w:w="734" w:type="dxa"/>
            <w:tcBorders>
              <w:top w:val="nil"/>
              <w:left w:val="nil"/>
              <w:bottom w:val="single" w:sz="4" w:space="0" w:color="auto"/>
              <w:right w:val="single" w:sz="4" w:space="0" w:color="auto"/>
            </w:tcBorders>
            <w:shd w:val="clear" w:color="auto" w:fill="1F497D"/>
            <w:vAlign w:val="center"/>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2012</w:t>
            </w:r>
          </w:p>
        </w:tc>
        <w:tc>
          <w:tcPr>
            <w:tcW w:w="708" w:type="dxa"/>
            <w:tcBorders>
              <w:top w:val="nil"/>
              <w:left w:val="nil"/>
              <w:bottom w:val="single" w:sz="4" w:space="0" w:color="auto"/>
              <w:right w:val="single" w:sz="4" w:space="0" w:color="auto"/>
            </w:tcBorders>
            <w:shd w:val="clear" w:color="auto" w:fill="1F497D"/>
            <w:vAlign w:val="center"/>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2013</w:t>
            </w:r>
          </w:p>
        </w:tc>
        <w:tc>
          <w:tcPr>
            <w:tcW w:w="709" w:type="dxa"/>
            <w:tcBorders>
              <w:top w:val="nil"/>
              <w:left w:val="nil"/>
              <w:bottom w:val="single" w:sz="4" w:space="0" w:color="auto"/>
              <w:right w:val="single" w:sz="4" w:space="0" w:color="auto"/>
            </w:tcBorders>
            <w:shd w:val="clear" w:color="auto" w:fill="1F497D"/>
            <w:vAlign w:val="center"/>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2014</w:t>
            </w:r>
          </w:p>
        </w:tc>
        <w:tc>
          <w:tcPr>
            <w:tcW w:w="741" w:type="dxa"/>
            <w:tcBorders>
              <w:top w:val="nil"/>
              <w:left w:val="nil"/>
              <w:bottom w:val="single" w:sz="4" w:space="0" w:color="auto"/>
              <w:right w:val="single" w:sz="4" w:space="0" w:color="auto"/>
            </w:tcBorders>
            <w:shd w:val="clear" w:color="auto" w:fill="1F497D"/>
            <w:vAlign w:val="center"/>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2015</w:t>
            </w:r>
          </w:p>
        </w:tc>
        <w:tc>
          <w:tcPr>
            <w:tcW w:w="818" w:type="dxa"/>
            <w:tcBorders>
              <w:top w:val="nil"/>
              <w:left w:val="nil"/>
              <w:bottom w:val="single" w:sz="4" w:space="0" w:color="auto"/>
              <w:right w:val="single" w:sz="4" w:space="0" w:color="auto"/>
            </w:tcBorders>
            <w:shd w:val="clear" w:color="auto" w:fill="1F497D"/>
            <w:vAlign w:val="center"/>
            <w:hideMark/>
          </w:tcPr>
          <w:p w:rsidR="00F51B81" w:rsidRPr="001F013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1F0139">
              <w:rPr>
                <w:rFonts w:ascii="Times New Roman" w:eastAsia="Times New Roman" w:hAnsi="Times New Roman" w:cs="Times New Roman"/>
                <w:b/>
                <w:bCs/>
                <w:color w:val="FFFFFF"/>
                <w:sz w:val="24"/>
                <w:szCs w:val="24"/>
                <w:lang w:eastAsia="ru-RU"/>
              </w:rPr>
              <w:t>2016</w:t>
            </w:r>
          </w:p>
        </w:tc>
      </w:tr>
      <w:tr w:rsidR="00F51B81" w:rsidRPr="001F0139" w:rsidTr="002760F1">
        <w:trPr>
          <w:trHeight w:val="330"/>
        </w:trPr>
        <w:tc>
          <w:tcPr>
            <w:tcW w:w="5817" w:type="dxa"/>
            <w:tcBorders>
              <w:top w:val="nil"/>
              <w:left w:val="single" w:sz="4" w:space="0" w:color="auto"/>
              <w:bottom w:val="single" w:sz="4" w:space="0" w:color="auto"/>
              <w:right w:val="single" w:sz="4" w:space="0" w:color="auto"/>
            </w:tcBorders>
            <w:hideMark/>
          </w:tcPr>
          <w:p w:rsidR="00F51B81" w:rsidRPr="001F0139" w:rsidRDefault="00F51B81" w:rsidP="001F0139">
            <w:pPr>
              <w:spacing w:after="0" w:line="240" w:lineRule="auto"/>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Количество малых предприятий</w:t>
            </w:r>
          </w:p>
        </w:tc>
        <w:tc>
          <w:tcPr>
            <w:tcW w:w="734"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19</w:t>
            </w:r>
          </w:p>
        </w:tc>
        <w:tc>
          <w:tcPr>
            <w:tcW w:w="708"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19</w:t>
            </w:r>
          </w:p>
        </w:tc>
        <w:tc>
          <w:tcPr>
            <w:tcW w:w="709"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19</w:t>
            </w:r>
          </w:p>
        </w:tc>
        <w:tc>
          <w:tcPr>
            <w:tcW w:w="741"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19</w:t>
            </w:r>
          </w:p>
        </w:tc>
        <w:tc>
          <w:tcPr>
            <w:tcW w:w="818"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19</w:t>
            </w:r>
          </w:p>
        </w:tc>
      </w:tr>
      <w:tr w:rsidR="00F51B81" w:rsidRPr="001F0139" w:rsidTr="002760F1">
        <w:trPr>
          <w:trHeight w:val="775"/>
        </w:trPr>
        <w:tc>
          <w:tcPr>
            <w:tcW w:w="5817" w:type="dxa"/>
            <w:tcBorders>
              <w:top w:val="nil"/>
              <w:left w:val="single" w:sz="4" w:space="0" w:color="auto"/>
              <w:bottom w:val="single" w:sz="4" w:space="0" w:color="auto"/>
              <w:right w:val="single" w:sz="4" w:space="0" w:color="auto"/>
            </w:tcBorders>
            <w:hideMark/>
          </w:tcPr>
          <w:p w:rsidR="00F51B81" w:rsidRPr="001F0139" w:rsidRDefault="00F51B81" w:rsidP="001F0139">
            <w:pPr>
              <w:spacing w:after="0" w:line="240" w:lineRule="auto"/>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Численность предпринимателей без образования юридического лица (индивидуальные предприниматели)</w:t>
            </w:r>
          </w:p>
        </w:tc>
        <w:tc>
          <w:tcPr>
            <w:tcW w:w="734"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255</w:t>
            </w:r>
          </w:p>
        </w:tc>
        <w:tc>
          <w:tcPr>
            <w:tcW w:w="708"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216</w:t>
            </w:r>
          </w:p>
        </w:tc>
        <w:tc>
          <w:tcPr>
            <w:tcW w:w="709"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211</w:t>
            </w:r>
          </w:p>
        </w:tc>
        <w:tc>
          <w:tcPr>
            <w:tcW w:w="741"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210</w:t>
            </w:r>
          </w:p>
        </w:tc>
        <w:tc>
          <w:tcPr>
            <w:tcW w:w="818"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196</w:t>
            </w:r>
          </w:p>
        </w:tc>
      </w:tr>
      <w:tr w:rsidR="00F51B81" w:rsidRPr="001F0139" w:rsidTr="002760F1">
        <w:trPr>
          <w:trHeight w:val="787"/>
        </w:trPr>
        <w:tc>
          <w:tcPr>
            <w:tcW w:w="5817" w:type="dxa"/>
            <w:tcBorders>
              <w:top w:val="nil"/>
              <w:left w:val="single" w:sz="4" w:space="0" w:color="auto"/>
              <w:bottom w:val="single" w:sz="4" w:space="0" w:color="auto"/>
              <w:right w:val="single" w:sz="4" w:space="0" w:color="auto"/>
            </w:tcBorders>
            <w:hideMark/>
          </w:tcPr>
          <w:p w:rsidR="00F51B81" w:rsidRPr="001F0139" w:rsidRDefault="00F51B81" w:rsidP="001F0139">
            <w:pPr>
              <w:spacing w:after="0" w:line="240" w:lineRule="auto"/>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Плотность субъектов малого предпринимательства (малые предприятия и индивидуальные предприниматели), на 1000 жителей</w:t>
            </w:r>
          </w:p>
        </w:tc>
        <w:tc>
          <w:tcPr>
            <w:tcW w:w="734"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24,6</w:t>
            </w:r>
          </w:p>
        </w:tc>
        <w:tc>
          <w:tcPr>
            <w:tcW w:w="708"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21,2</w:t>
            </w:r>
          </w:p>
        </w:tc>
        <w:tc>
          <w:tcPr>
            <w:tcW w:w="709"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20,8</w:t>
            </w:r>
          </w:p>
        </w:tc>
        <w:tc>
          <w:tcPr>
            <w:tcW w:w="741"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20,9</w:t>
            </w:r>
          </w:p>
        </w:tc>
        <w:tc>
          <w:tcPr>
            <w:tcW w:w="818"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19,8</w:t>
            </w:r>
          </w:p>
        </w:tc>
      </w:tr>
      <w:tr w:rsidR="00F51B81" w:rsidRPr="001F0139" w:rsidTr="002760F1">
        <w:trPr>
          <w:trHeight w:val="549"/>
        </w:trPr>
        <w:tc>
          <w:tcPr>
            <w:tcW w:w="5817" w:type="dxa"/>
            <w:tcBorders>
              <w:top w:val="nil"/>
              <w:left w:val="single" w:sz="4" w:space="0" w:color="auto"/>
              <w:bottom w:val="single" w:sz="4" w:space="0" w:color="auto"/>
              <w:right w:val="single" w:sz="4" w:space="0" w:color="auto"/>
            </w:tcBorders>
            <w:hideMark/>
          </w:tcPr>
          <w:p w:rsidR="00F51B81" w:rsidRPr="001F0139" w:rsidRDefault="00F51B81" w:rsidP="001F0139">
            <w:pPr>
              <w:spacing w:after="0" w:line="240" w:lineRule="auto"/>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Среднесписочная численность занятых на малых предприятиях</w:t>
            </w:r>
          </w:p>
        </w:tc>
        <w:tc>
          <w:tcPr>
            <w:tcW w:w="734"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184</w:t>
            </w:r>
          </w:p>
        </w:tc>
        <w:tc>
          <w:tcPr>
            <w:tcW w:w="708"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180</w:t>
            </w:r>
          </w:p>
        </w:tc>
        <w:tc>
          <w:tcPr>
            <w:tcW w:w="709"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174</w:t>
            </w:r>
          </w:p>
        </w:tc>
        <w:tc>
          <w:tcPr>
            <w:tcW w:w="741"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157</w:t>
            </w:r>
          </w:p>
        </w:tc>
        <w:tc>
          <w:tcPr>
            <w:tcW w:w="818"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159</w:t>
            </w:r>
          </w:p>
        </w:tc>
      </w:tr>
      <w:tr w:rsidR="00F51B81" w:rsidRPr="001F0139" w:rsidTr="002760F1">
        <w:trPr>
          <w:trHeight w:val="510"/>
        </w:trPr>
        <w:tc>
          <w:tcPr>
            <w:tcW w:w="5817" w:type="dxa"/>
            <w:tcBorders>
              <w:top w:val="nil"/>
              <w:left w:val="single" w:sz="4" w:space="0" w:color="auto"/>
              <w:bottom w:val="single" w:sz="4" w:space="0" w:color="auto"/>
              <w:right w:val="single" w:sz="4" w:space="0" w:color="auto"/>
            </w:tcBorders>
            <w:hideMark/>
          </w:tcPr>
          <w:p w:rsidR="00F51B81" w:rsidRPr="001F0139" w:rsidRDefault="00F51B81" w:rsidP="001F0139">
            <w:pPr>
              <w:spacing w:after="0" w:line="240" w:lineRule="auto"/>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Расходы местного бюджета на программу поддержки и развития малого предпринимательства, тыс. руб.</w:t>
            </w:r>
          </w:p>
        </w:tc>
        <w:tc>
          <w:tcPr>
            <w:tcW w:w="734"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1000</w:t>
            </w:r>
          </w:p>
        </w:tc>
        <w:tc>
          <w:tcPr>
            <w:tcW w:w="708"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2333</w:t>
            </w:r>
          </w:p>
        </w:tc>
        <w:tc>
          <w:tcPr>
            <w:tcW w:w="709"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0</w:t>
            </w:r>
          </w:p>
        </w:tc>
        <w:tc>
          <w:tcPr>
            <w:tcW w:w="741"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0</w:t>
            </w:r>
          </w:p>
        </w:tc>
        <w:tc>
          <w:tcPr>
            <w:tcW w:w="818"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0</w:t>
            </w:r>
          </w:p>
        </w:tc>
      </w:tr>
      <w:tr w:rsidR="00F51B81" w:rsidRPr="001F0139" w:rsidTr="002760F1">
        <w:trPr>
          <w:trHeight w:val="1099"/>
        </w:trPr>
        <w:tc>
          <w:tcPr>
            <w:tcW w:w="5817" w:type="dxa"/>
            <w:tcBorders>
              <w:top w:val="nil"/>
              <w:left w:val="single" w:sz="4" w:space="0" w:color="auto"/>
              <w:bottom w:val="single" w:sz="4" w:space="0" w:color="auto"/>
              <w:right w:val="single" w:sz="4" w:space="0" w:color="auto"/>
            </w:tcBorders>
            <w:hideMark/>
          </w:tcPr>
          <w:p w:rsidR="00F51B81" w:rsidRPr="001F0139" w:rsidRDefault="00F51B81" w:rsidP="001F0139">
            <w:pPr>
              <w:spacing w:after="0" w:line="240" w:lineRule="auto"/>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Поступление единого налога от применения специальных режимов налогообложения (упрощенная система налогообложения, единый налог на вмененный доход), тыс. руб.</w:t>
            </w:r>
          </w:p>
        </w:tc>
        <w:tc>
          <w:tcPr>
            <w:tcW w:w="734"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2628</w:t>
            </w:r>
          </w:p>
        </w:tc>
        <w:tc>
          <w:tcPr>
            <w:tcW w:w="708"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2006</w:t>
            </w:r>
          </w:p>
        </w:tc>
        <w:tc>
          <w:tcPr>
            <w:tcW w:w="709"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2112</w:t>
            </w:r>
          </w:p>
        </w:tc>
        <w:tc>
          <w:tcPr>
            <w:tcW w:w="741"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2320</w:t>
            </w:r>
          </w:p>
        </w:tc>
        <w:tc>
          <w:tcPr>
            <w:tcW w:w="818" w:type="dxa"/>
            <w:tcBorders>
              <w:top w:val="nil"/>
              <w:left w:val="nil"/>
              <w:bottom w:val="single" w:sz="4" w:space="0" w:color="auto"/>
              <w:right w:val="single" w:sz="4" w:space="0" w:color="auto"/>
            </w:tcBorders>
            <w:vAlign w:val="center"/>
            <w:hideMark/>
          </w:tcPr>
          <w:p w:rsidR="00F51B81" w:rsidRPr="001F0139" w:rsidRDefault="00F51B81" w:rsidP="001F0139">
            <w:pPr>
              <w:spacing w:after="0" w:line="240" w:lineRule="auto"/>
              <w:jc w:val="center"/>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2168</w:t>
            </w:r>
          </w:p>
        </w:tc>
      </w:tr>
    </w:tbl>
    <w:p w:rsidR="00F51B81" w:rsidRPr="001F0139" w:rsidRDefault="00F51B81" w:rsidP="001F0139">
      <w:pPr>
        <w:shd w:val="clear" w:color="auto" w:fill="FFFFFF"/>
        <w:spacing w:after="0" w:line="360" w:lineRule="auto"/>
        <w:ind w:firstLine="709"/>
        <w:jc w:val="both"/>
        <w:rPr>
          <w:rFonts w:ascii="Times New Roman" w:eastAsia="Times New Roman" w:hAnsi="Times New Roman" w:cs="Times New Roman"/>
          <w:bCs/>
          <w:sz w:val="28"/>
          <w:szCs w:val="28"/>
          <w:shd w:val="clear" w:color="auto" w:fill="FFFFFF"/>
          <w:lang w:eastAsia="ru-RU"/>
        </w:rPr>
      </w:pPr>
    </w:p>
    <w:p w:rsidR="00F51B81" w:rsidRPr="001F0139" w:rsidRDefault="00F51B81" w:rsidP="001F0139">
      <w:pPr>
        <w:shd w:val="clear" w:color="auto" w:fill="FFFFFF"/>
        <w:spacing w:after="0" w:line="360" w:lineRule="auto"/>
        <w:ind w:firstLine="709"/>
        <w:jc w:val="both"/>
        <w:rPr>
          <w:rFonts w:ascii="Times New Roman" w:eastAsia="Times New Roman" w:hAnsi="Times New Roman" w:cs="Times New Roman"/>
          <w:bCs/>
          <w:sz w:val="28"/>
          <w:szCs w:val="28"/>
          <w:shd w:val="clear" w:color="auto" w:fill="FFFFFF"/>
          <w:lang w:eastAsia="ru-RU"/>
        </w:rPr>
      </w:pPr>
      <w:r w:rsidRPr="001F0139">
        <w:rPr>
          <w:rFonts w:ascii="Times New Roman" w:eastAsia="Times New Roman" w:hAnsi="Times New Roman" w:cs="Times New Roman"/>
          <w:bCs/>
          <w:sz w:val="28"/>
          <w:szCs w:val="28"/>
          <w:shd w:val="clear" w:color="auto" w:fill="FFFFFF"/>
          <w:lang w:eastAsia="ru-RU"/>
        </w:rPr>
        <w:t xml:space="preserve">В целях создания благоприятных условий для развития и устойчивой деятельности субъектов малого предпринимательства администрацией района разработана и реализуется программа «Развитие малого и среднего предпринимательства в </w:t>
      </w:r>
      <w:r w:rsidR="00FD48D7">
        <w:rPr>
          <w:rFonts w:ascii="Times New Roman" w:eastAsia="Times New Roman" w:hAnsi="Times New Roman" w:cs="Times New Roman"/>
          <w:bCs/>
          <w:sz w:val="28"/>
          <w:szCs w:val="28"/>
          <w:shd w:val="clear" w:color="auto" w:fill="FFFFFF"/>
          <w:lang w:eastAsia="ru-RU"/>
        </w:rPr>
        <w:t>муниципальном районе К</w:t>
      </w:r>
      <w:r w:rsidRPr="001F0139">
        <w:rPr>
          <w:rFonts w:ascii="Times New Roman" w:eastAsia="Times New Roman" w:hAnsi="Times New Roman" w:cs="Times New Roman"/>
          <w:bCs/>
          <w:sz w:val="28"/>
          <w:szCs w:val="28"/>
          <w:shd w:val="clear" w:color="auto" w:fill="FFFFFF"/>
          <w:lang w:eastAsia="ru-RU"/>
        </w:rPr>
        <w:t>амышлинск</w:t>
      </w:r>
      <w:r w:rsidR="00FD48D7">
        <w:rPr>
          <w:rFonts w:ascii="Times New Roman" w:eastAsia="Times New Roman" w:hAnsi="Times New Roman" w:cs="Times New Roman"/>
          <w:bCs/>
          <w:sz w:val="28"/>
          <w:szCs w:val="28"/>
          <w:shd w:val="clear" w:color="auto" w:fill="FFFFFF"/>
          <w:lang w:eastAsia="ru-RU"/>
        </w:rPr>
        <w:t>ий</w:t>
      </w:r>
      <w:r w:rsidRPr="001F0139">
        <w:rPr>
          <w:rFonts w:ascii="Times New Roman" w:eastAsia="Times New Roman" w:hAnsi="Times New Roman" w:cs="Times New Roman"/>
          <w:bCs/>
          <w:sz w:val="28"/>
          <w:szCs w:val="28"/>
          <w:shd w:val="clear" w:color="auto" w:fill="FFFFFF"/>
          <w:lang w:eastAsia="ru-RU"/>
        </w:rPr>
        <w:t xml:space="preserve"> на </w:t>
      </w:r>
      <w:r w:rsidRPr="00FD48D7">
        <w:rPr>
          <w:rFonts w:ascii="Times New Roman" w:eastAsia="Times New Roman" w:hAnsi="Times New Roman" w:cs="Times New Roman"/>
          <w:bCs/>
          <w:sz w:val="28"/>
          <w:szCs w:val="28"/>
          <w:shd w:val="clear" w:color="auto" w:fill="FFFFFF"/>
          <w:lang w:eastAsia="ru-RU"/>
        </w:rPr>
        <w:t>201</w:t>
      </w:r>
      <w:r w:rsidR="00FD48D7" w:rsidRPr="00FD48D7">
        <w:rPr>
          <w:rFonts w:ascii="Times New Roman" w:eastAsia="Times New Roman" w:hAnsi="Times New Roman" w:cs="Times New Roman"/>
          <w:bCs/>
          <w:sz w:val="28"/>
          <w:szCs w:val="28"/>
          <w:shd w:val="clear" w:color="auto" w:fill="FFFFFF"/>
          <w:lang w:eastAsia="ru-RU"/>
        </w:rPr>
        <w:t>8</w:t>
      </w:r>
      <w:r w:rsidRPr="00FD48D7">
        <w:rPr>
          <w:rFonts w:ascii="Times New Roman" w:eastAsia="Times New Roman" w:hAnsi="Times New Roman" w:cs="Times New Roman"/>
          <w:bCs/>
          <w:sz w:val="28"/>
          <w:szCs w:val="28"/>
          <w:shd w:val="clear" w:color="auto" w:fill="FFFFFF"/>
          <w:lang w:eastAsia="ru-RU"/>
        </w:rPr>
        <w:t xml:space="preserve"> – 20</w:t>
      </w:r>
      <w:r w:rsidR="00FD48D7" w:rsidRPr="00FD48D7">
        <w:rPr>
          <w:rFonts w:ascii="Times New Roman" w:eastAsia="Times New Roman" w:hAnsi="Times New Roman" w:cs="Times New Roman"/>
          <w:bCs/>
          <w:sz w:val="28"/>
          <w:szCs w:val="28"/>
          <w:shd w:val="clear" w:color="auto" w:fill="FFFFFF"/>
          <w:lang w:eastAsia="ru-RU"/>
        </w:rPr>
        <w:t>20</w:t>
      </w:r>
      <w:r w:rsidR="00FD48D7">
        <w:rPr>
          <w:rFonts w:ascii="Times New Roman" w:eastAsia="Times New Roman" w:hAnsi="Times New Roman" w:cs="Times New Roman"/>
          <w:bCs/>
          <w:sz w:val="28"/>
          <w:szCs w:val="28"/>
          <w:shd w:val="clear" w:color="auto" w:fill="FFFFFF"/>
          <w:lang w:eastAsia="ru-RU"/>
        </w:rPr>
        <w:t xml:space="preserve"> годы». В 2013-2017</w:t>
      </w:r>
      <w:r w:rsidRPr="001F0139">
        <w:rPr>
          <w:rFonts w:ascii="Times New Roman" w:eastAsia="Times New Roman" w:hAnsi="Times New Roman" w:cs="Times New Roman"/>
          <w:bCs/>
          <w:sz w:val="28"/>
          <w:szCs w:val="28"/>
          <w:shd w:val="clear" w:color="auto" w:fill="FFFFFF"/>
          <w:lang w:eastAsia="ru-RU"/>
        </w:rPr>
        <w:t xml:space="preserve"> гг. на реализацию вышеуказанной программы денежные средства не выделялись. Результатом могло стать сокращение </w:t>
      </w:r>
      <w:r w:rsidRPr="001F0139">
        <w:rPr>
          <w:rFonts w:ascii="Times New Roman" w:eastAsia="Times New Roman" w:hAnsi="Times New Roman" w:cs="Times New Roman"/>
          <w:sz w:val="28"/>
          <w:szCs w:val="28"/>
          <w:lang w:eastAsia="ru-RU"/>
        </w:rPr>
        <w:t xml:space="preserve">среднесписочной численности занятых на малых предприятиях, численности индивидуальных предпринимателей, </w:t>
      </w:r>
      <w:r w:rsidRPr="001F0139">
        <w:rPr>
          <w:rFonts w:ascii="Times New Roman" w:eastAsia="Times New Roman" w:hAnsi="Times New Roman" w:cs="Times New Roman"/>
          <w:bCs/>
          <w:sz w:val="28"/>
          <w:szCs w:val="28"/>
          <w:shd w:val="clear" w:color="auto" w:fill="FFFFFF"/>
          <w:lang w:eastAsia="ru-RU"/>
        </w:rPr>
        <w:t>сокращение объема поступлений налогов от применения специальных режимов налогообложения в муниципальный бюджет, и др. Тем не менее, микрозаймами районного фонда микрофинансирования субъектов малого и среднего предпринимательства в 2011-2016 гг. воспользовались 83 предпринимателя на общую сумму более 23 млн. рублей.</w:t>
      </w:r>
    </w:p>
    <w:p w:rsidR="00F51B81" w:rsidRPr="001F0139" w:rsidRDefault="00F51B81" w:rsidP="001F0139">
      <w:pPr>
        <w:shd w:val="clear" w:color="auto" w:fill="FFFFFF"/>
        <w:spacing w:after="0" w:line="360" w:lineRule="auto"/>
        <w:ind w:firstLine="709"/>
        <w:jc w:val="both"/>
        <w:rPr>
          <w:rFonts w:ascii="Times New Roman" w:eastAsia="Times New Roman" w:hAnsi="Times New Roman" w:cs="Times New Roman"/>
          <w:bCs/>
          <w:sz w:val="28"/>
          <w:szCs w:val="28"/>
          <w:shd w:val="clear" w:color="auto" w:fill="FFFFFF"/>
          <w:lang w:eastAsia="ru-RU"/>
        </w:rPr>
      </w:pPr>
      <w:r w:rsidRPr="001F0139">
        <w:rPr>
          <w:rFonts w:ascii="Times New Roman" w:eastAsia="Times New Roman" w:hAnsi="Times New Roman" w:cs="Times New Roman"/>
          <w:bCs/>
          <w:sz w:val="28"/>
          <w:szCs w:val="28"/>
          <w:shd w:val="clear" w:color="auto" w:fill="FFFFFF"/>
          <w:lang w:eastAsia="ru-RU"/>
        </w:rPr>
        <w:lastRenderedPageBreak/>
        <w:t xml:space="preserve">По программе самозанятости населения было оказано содействие в организации собственного дела в период с 2012 по сегодняшний день 22 индивидуальным предпринимателям на сумму более 1 млн. 293 тыс. руб. Дополнительно 11 жителям района оказано содействие в оформлении документов при открытии собственного дела. </w:t>
      </w:r>
    </w:p>
    <w:p w:rsidR="00F51B81" w:rsidRPr="001F0139" w:rsidRDefault="00F51B81" w:rsidP="001F0139">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F51B81" w:rsidRPr="001F0139" w:rsidRDefault="00F51B81" w:rsidP="001F0139">
      <w:pPr>
        <w:spacing w:after="0" w:line="360" w:lineRule="auto"/>
        <w:contextualSpacing/>
        <w:outlineLvl w:val="2"/>
        <w:rPr>
          <w:rFonts w:ascii="Times New Roman" w:hAnsi="Times New Roman" w:cs="Times New Roman"/>
          <w:b/>
          <w:color w:val="365F91"/>
          <w:sz w:val="28"/>
          <w:szCs w:val="28"/>
        </w:rPr>
      </w:pPr>
      <w:bookmarkStart w:id="33" w:name="_Toc520894841"/>
      <w:r w:rsidRPr="001F0139">
        <w:rPr>
          <w:rFonts w:ascii="Times New Roman" w:hAnsi="Times New Roman" w:cs="Times New Roman"/>
          <w:b/>
          <w:color w:val="365F91"/>
          <w:sz w:val="28"/>
          <w:szCs w:val="28"/>
        </w:rPr>
        <w:t>1.5.4 Потребительский рынок и сфера услуг</w:t>
      </w:r>
      <w:bookmarkEnd w:id="33"/>
    </w:p>
    <w:p w:rsidR="00F51B81" w:rsidRPr="001F0139" w:rsidRDefault="00F51B81" w:rsidP="001F0139">
      <w:pPr>
        <w:spacing w:after="0" w:line="360" w:lineRule="auto"/>
        <w:ind w:firstLine="709"/>
        <w:jc w:val="both"/>
        <w:rPr>
          <w:rFonts w:ascii="Times New Roman" w:hAnsi="Times New Roman" w:cs="Times New Roman"/>
          <w:sz w:val="28"/>
          <w:szCs w:val="28"/>
        </w:rPr>
      </w:pPr>
    </w:p>
    <w:p w:rsidR="00F51B81" w:rsidRPr="001F0139" w:rsidRDefault="00F51B81" w:rsidP="001F0139">
      <w:pPr>
        <w:spacing w:after="0" w:line="360" w:lineRule="auto"/>
        <w:ind w:firstLine="709"/>
        <w:jc w:val="both"/>
        <w:rPr>
          <w:rFonts w:ascii="Times New Roman" w:hAnsi="Times New Roman" w:cs="Times New Roman"/>
          <w:b/>
          <w:sz w:val="28"/>
          <w:szCs w:val="28"/>
        </w:rPr>
      </w:pPr>
      <w:r w:rsidRPr="001F0139">
        <w:rPr>
          <w:rFonts w:ascii="Times New Roman" w:hAnsi="Times New Roman" w:cs="Times New Roman"/>
          <w:sz w:val="28"/>
          <w:szCs w:val="28"/>
        </w:rPr>
        <w:t xml:space="preserve">Сфера услуг Камышлинского района представлена услугами: кредитно-финансовых организаций, розничной торговли, жилищно-коммунального хозяйства, общественного питания, бытового обслуживания, транспортного обслуживания. К концу 2016 г. в районе услуги розничной торговли оказывали 109 предприятий, организаций и индивидуальных предпринимателей. Структура сектора розничной торговли представлена на рис. 1.5.11. </w:t>
      </w:r>
    </w:p>
    <w:p w:rsidR="00F51B81" w:rsidRPr="001F0139" w:rsidRDefault="00F51B81" w:rsidP="001F0139">
      <w:pPr>
        <w:spacing w:after="0" w:line="240" w:lineRule="auto"/>
        <w:jc w:val="center"/>
        <w:rPr>
          <w:rFonts w:ascii="Times New Roman" w:hAnsi="Times New Roman" w:cs="Times New Roman"/>
          <w:b/>
          <w:sz w:val="28"/>
          <w:szCs w:val="28"/>
        </w:rPr>
      </w:pPr>
      <w:r w:rsidRPr="001F0139">
        <w:rPr>
          <w:rFonts w:ascii="Times New Roman" w:hAnsi="Times New Roman" w:cs="Times New Roman"/>
          <w:b/>
          <w:noProof/>
          <w:sz w:val="28"/>
          <w:szCs w:val="28"/>
          <w:lang w:eastAsia="ru-RU"/>
        </w:rPr>
        <w:drawing>
          <wp:inline distT="0" distB="0" distL="0" distR="0">
            <wp:extent cx="5863590" cy="3090672"/>
            <wp:effectExtent l="0" t="0" r="0" b="0"/>
            <wp:docPr id="36"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51B81" w:rsidRPr="001F013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1F0139">
        <w:rPr>
          <w:rFonts w:ascii="Times New Roman" w:eastAsia="Times New Roman" w:hAnsi="Times New Roman" w:cs="Times New Roman"/>
          <w:b/>
          <w:color w:val="000000"/>
          <w:sz w:val="28"/>
          <w:szCs w:val="28"/>
          <w:shd w:val="clear" w:color="auto" w:fill="FFFFFF"/>
          <w:lang w:eastAsia="ru-RU"/>
        </w:rPr>
        <w:t>Рисунок 1.5.11 – Количество объектов розничной торговли и общественного питания в Камышлинском районе, ед.</w:t>
      </w:r>
    </w:p>
    <w:p w:rsidR="00F51B81" w:rsidRPr="001F013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8"/>
          <w:szCs w:val="28"/>
          <w:shd w:val="clear" w:color="auto" w:fill="FFFFFF"/>
          <w:lang w:eastAsia="ru-RU"/>
        </w:rPr>
      </w:pP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 2016 г. фактическая обеспеченность населения площадью стационарных торговых объектов (суммарная) составила 350,7 кв. метров на 1 тыс. чел. Фактическая обеспеченность населения площадью </w:t>
      </w:r>
      <w:r w:rsidRPr="001F0139">
        <w:rPr>
          <w:rFonts w:ascii="Times New Roman" w:hAnsi="Times New Roman" w:cs="Times New Roman"/>
          <w:sz w:val="28"/>
          <w:szCs w:val="28"/>
        </w:rPr>
        <w:lastRenderedPageBreak/>
        <w:t xml:space="preserve">нестационарных торговых объектов (павильонов и киосков) по продаже продовольственных товаров и сельскохозяйственной продукции составила 6,4 единицы на 10000 человек, по продаже продукции общественного питания - 0,9 единиц на 10000 человек. </w:t>
      </w: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период 2012-2016 гг. оборот розничной торговли в абсолютном выражении увеличился на 233 млн. рублей и в 2016 году составил 566 млн. рублей. В районе совершенно не развита потребительская кооперация по розничной торговле. Среднедушевой оборот розничной торговли в Камышлинском районе немного превышает среднее значение по области (52070,5 руб./чел. при среднеобластном значении 51798,3 руб./чел.) (рис.1.5.12).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858"/>
      </w:tblGrid>
      <w:tr w:rsidR="00F51B81" w:rsidRPr="001F0139" w:rsidTr="002760F1">
        <w:trPr>
          <w:trHeight w:val="7361"/>
        </w:trPr>
        <w:tc>
          <w:tcPr>
            <w:tcW w:w="2463" w:type="pct"/>
            <w:tcBorders>
              <w:top w:val="single" w:sz="4" w:space="0" w:color="auto"/>
              <w:left w:val="single" w:sz="4" w:space="0" w:color="auto"/>
              <w:bottom w:val="single" w:sz="4" w:space="0" w:color="auto"/>
              <w:right w:val="single" w:sz="4" w:space="0" w:color="auto"/>
            </w:tcBorders>
            <w:shd w:val="clear" w:color="auto" w:fill="auto"/>
            <w:hideMark/>
          </w:tcPr>
          <w:p w:rsidR="00F51B81" w:rsidRPr="001F0139" w:rsidRDefault="00F51B81" w:rsidP="001F0139">
            <w:pPr>
              <w:spacing w:after="0" w:line="360" w:lineRule="auto"/>
              <w:jc w:val="both"/>
              <w:rPr>
                <w:rFonts w:ascii="Times New Roman" w:hAnsi="Times New Roman" w:cs="Times New Roman"/>
                <w:sz w:val="28"/>
                <w:szCs w:val="28"/>
              </w:rPr>
            </w:pPr>
            <w:r w:rsidRPr="001F0139">
              <w:rPr>
                <w:rFonts w:ascii="Times New Roman" w:hAnsi="Times New Roman" w:cs="Times New Roman"/>
                <w:noProof/>
                <w:sz w:val="28"/>
                <w:szCs w:val="28"/>
                <w:lang w:eastAsia="ru-RU"/>
              </w:rPr>
              <w:drawing>
                <wp:inline distT="0" distB="0" distL="0" distR="0">
                  <wp:extent cx="2922524" cy="4671822"/>
                  <wp:effectExtent l="19050" t="0" r="11176" b="0"/>
                  <wp:docPr id="37"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2537" w:type="pct"/>
            <w:tcBorders>
              <w:top w:val="single" w:sz="4" w:space="0" w:color="auto"/>
              <w:left w:val="single" w:sz="4" w:space="0" w:color="auto"/>
              <w:bottom w:val="single" w:sz="4" w:space="0" w:color="auto"/>
              <w:right w:val="single" w:sz="4" w:space="0" w:color="auto"/>
            </w:tcBorders>
            <w:shd w:val="clear" w:color="auto" w:fill="auto"/>
            <w:hideMark/>
          </w:tcPr>
          <w:p w:rsidR="00F51B81" w:rsidRPr="001F0139" w:rsidRDefault="00F51B81" w:rsidP="001F0139">
            <w:pPr>
              <w:spacing w:after="0" w:line="360" w:lineRule="auto"/>
              <w:jc w:val="both"/>
              <w:rPr>
                <w:rFonts w:ascii="Times New Roman" w:hAnsi="Times New Roman" w:cs="Times New Roman"/>
                <w:sz w:val="28"/>
                <w:szCs w:val="28"/>
              </w:rPr>
            </w:pPr>
            <w:r w:rsidRPr="001F0139">
              <w:rPr>
                <w:rFonts w:ascii="Times New Roman" w:hAnsi="Times New Roman" w:cs="Times New Roman"/>
                <w:noProof/>
                <w:sz w:val="28"/>
                <w:szCs w:val="28"/>
                <w:lang w:eastAsia="ru-RU"/>
              </w:rPr>
              <w:drawing>
                <wp:inline distT="0" distB="0" distL="0" distR="0">
                  <wp:extent cx="3012059" cy="4661408"/>
                  <wp:effectExtent l="19050" t="0" r="16891" b="5842"/>
                  <wp:docPr id="38"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rsidR="00F51B81" w:rsidRPr="001F0139" w:rsidRDefault="00F51B81" w:rsidP="001F0139">
      <w:pPr>
        <w:spacing w:after="0" w:line="240" w:lineRule="auto"/>
        <w:ind w:firstLine="709"/>
        <w:jc w:val="center"/>
        <w:rPr>
          <w:rFonts w:ascii="Times New Roman" w:hAnsi="Times New Roman" w:cs="Times New Roman"/>
          <w:b/>
          <w:sz w:val="28"/>
          <w:szCs w:val="28"/>
        </w:rPr>
      </w:pPr>
      <w:r w:rsidRPr="001F0139">
        <w:rPr>
          <w:rFonts w:ascii="Times New Roman" w:hAnsi="Times New Roman" w:cs="Times New Roman"/>
          <w:b/>
          <w:sz w:val="28"/>
          <w:szCs w:val="28"/>
        </w:rPr>
        <w:t xml:space="preserve">Рисунок </w:t>
      </w:r>
      <w:r w:rsidRPr="001F0139">
        <w:rPr>
          <w:rFonts w:ascii="Times New Roman" w:hAnsi="Times New Roman" w:cs="Times New Roman"/>
          <w:b/>
          <w:color w:val="000000"/>
          <w:sz w:val="28"/>
          <w:szCs w:val="28"/>
          <w:shd w:val="clear" w:color="auto" w:fill="FFFFFF"/>
        </w:rPr>
        <w:t xml:space="preserve">1.5.12 </w:t>
      </w:r>
      <w:r w:rsidRPr="001F0139">
        <w:rPr>
          <w:rFonts w:ascii="Times New Roman" w:hAnsi="Times New Roman" w:cs="Times New Roman"/>
          <w:b/>
          <w:sz w:val="28"/>
          <w:szCs w:val="28"/>
        </w:rPr>
        <w:t>- Оборот розничной торговли и общественного питания на душу населения в муниципальных районах Самарской области в 2016 г., руб./чел.</w:t>
      </w:r>
    </w:p>
    <w:p w:rsidR="00F51B81" w:rsidRPr="001F0139" w:rsidRDefault="00F51B81" w:rsidP="001F0139">
      <w:pPr>
        <w:spacing w:after="0" w:line="360" w:lineRule="auto"/>
        <w:ind w:firstLine="709"/>
        <w:jc w:val="both"/>
        <w:rPr>
          <w:rFonts w:ascii="Times New Roman" w:hAnsi="Times New Roman" w:cs="Times New Roman"/>
          <w:sz w:val="28"/>
          <w:szCs w:val="28"/>
        </w:rPr>
      </w:pP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rPr>
        <w:lastRenderedPageBreak/>
        <w:t xml:space="preserve">Основной составляющей </w:t>
      </w:r>
      <w:r w:rsidRPr="001F0139">
        <w:rPr>
          <w:rFonts w:ascii="Times New Roman" w:hAnsi="Times New Roman" w:cs="Times New Roman"/>
          <w:sz w:val="28"/>
          <w:szCs w:val="28"/>
        </w:rPr>
        <w:t>сферы услуг Камышлинского района является общественное питание. За период 2012-2016 гг. значение оборота общественного питания увеличилось на 17,5 млн. руб. Потребкооперация по общественному питанию в районе существует, но ее обороты снизились за рассматриваемые 5 лет с 6,6 млн. руб. до 2,2 млн. руб. На территории муниципального района в 2016 г. действовало 27 объектов общественного питания. Из них 23 объекта это общедоступные с</w:t>
      </w:r>
      <w:r w:rsidRPr="001F0139">
        <w:rPr>
          <w:rFonts w:ascii="Times New Roman" w:eastAsia="Times New Roman" w:hAnsi="Times New Roman" w:cs="Times New Roman"/>
          <w:sz w:val="28"/>
          <w:szCs w:val="28"/>
          <w:lang w:eastAsia="ru-RU"/>
        </w:rPr>
        <w:t xml:space="preserve">толовые и закусочные, </w:t>
      </w:r>
      <w:r w:rsidRPr="001F0139">
        <w:rPr>
          <w:rFonts w:ascii="Times New Roman" w:hAnsi="Times New Roman" w:cs="Times New Roman"/>
          <w:sz w:val="28"/>
          <w:szCs w:val="28"/>
        </w:rPr>
        <w:t>4 объекта – рестораны, кафе, бары.</w:t>
      </w: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Камышлинский район характеризуется сравнительно низким уровнем обеспеченности населения платными услугами. По данным 2016 г. объем платных услуг на душу населения в районе составлял 4536 руб./чел и существенно отставал от других муниципальных районов Самарской области. </w:t>
      </w:r>
    </w:p>
    <w:p w:rsidR="00F51B81" w:rsidRPr="001F0139" w:rsidRDefault="00F51B81" w:rsidP="001F0139">
      <w:pPr>
        <w:spacing w:after="0" w:line="360" w:lineRule="auto"/>
        <w:ind w:firstLine="709"/>
        <w:contextualSpacing/>
        <w:jc w:val="both"/>
        <w:rPr>
          <w:rFonts w:ascii="Times New Roman" w:hAnsi="Times New Roman" w:cs="Times New Roman"/>
          <w:sz w:val="28"/>
        </w:rPr>
      </w:pPr>
      <w:r w:rsidRPr="001F0139">
        <w:rPr>
          <w:rFonts w:ascii="Times New Roman" w:hAnsi="Times New Roman" w:cs="Times New Roman"/>
          <w:sz w:val="28"/>
        </w:rPr>
        <w:t xml:space="preserve">В районе недостаточно развит рынок бытовых услуг (рис. 1.5.13). </w:t>
      </w:r>
    </w:p>
    <w:p w:rsidR="00F51B81" w:rsidRPr="001F0139" w:rsidRDefault="00F51B81" w:rsidP="001F0139">
      <w:pPr>
        <w:spacing w:after="0" w:line="240" w:lineRule="auto"/>
        <w:contextualSpacing/>
        <w:jc w:val="center"/>
        <w:rPr>
          <w:rFonts w:ascii="Times New Roman" w:hAnsi="Times New Roman" w:cs="Times New Roman"/>
          <w:sz w:val="28"/>
        </w:rPr>
      </w:pPr>
      <w:r w:rsidRPr="001F0139">
        <w:rPr>
          <w:rFonts w:ascii="Times New Roman" w:hAnsi="Times New Roman" w:cs="Times New Roman"/>
          <w:noProof/>
          <w:sz w:val="28"/>
          <w:lang w:eastAsia="ru-RU"/>
        </w:rPr>
        <w:drawing>
          <wp:inline distT="0" distB="0" distL="0" distR="0">
            <wp:extent cx="5669280" cy="3011424"/>
            <wp:effectExtent l="0" t="0" r="0" b="0"/>
            <wp:docPr id="39"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51B81" w:rsidRPr="001F013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1F0139">
        <w:rPr>
          <w:rFonts w:ascii="Times New Roman" w:eastAsia="Times New Roman" w:hAnsi="Times New Roman" w:cs="Times New Roman"/>
          <w:b/>
          <w:color w:val="000000"/>
          <w:sz w:val="28"/>
          <w:szCs w:val="28"/>
          <w:shd w:val="clear" w:color="auto" w:fill="FFFFFF"/>
          <w:lang w:eastAsia="ru-RU"/>
        </w:rPr>
        <w:t>Рисунок 1.5.13 – Число объектов бытового обслуживания</w:t>
      </w:r>
    </w:p>
    <w:p w:rsidR="00F51B81" w:rsidRPr="001F013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1F0139">
        <w:rPr>
          <w:rFonts w:ascii="Times New Roman" w:eastAsia="Times New Roman" w:hAnsi="Times New Roman" w:cs="Times New Roman"/>
          <w:b/>
          <w:color w:val="000000"/>
          <w:sz w:val="28"/>
          <w:szCs w:val="28"/>
          <w:shd w:val="clear" w:color="auto" w:fill="FFFFFF"/>
          <w:lang w:eastAsia="ru-RU"/>
        </w:rPr>
        <w:t>населения Камышлинского района на конец 2016 г., ед.</w:t>
      </w:r>
    </w:p>
    <w:p w:rsidR="00F51B81" w:rsidRPr="001F0139" w:rsidRDefault="00F51B81" w:rsidP="001F0139">
      <w:pPr>
        <w:spacing w:after="0" w:line="240" w:lineRule="auto"/>
        <w:ind w:firstLine="709"/>
        <w:contextualSpacing/>
        <w:jc w:val="both"/>
        <w:rPr>
          <w:rFonts w:ascii="Times New Roman" w:hAnsi="Times New Roman" w:cs="Times New Roman"/>
          <w:sz w:val="28"/>
        </w:rPr>
      </w:pPr>
    </w:p>
    <w:p w:rsidR="00F51B81" w:rsidRPr="001F0139" w:rsidRDefault="00F51B81" w:rsidP="001F0139">
      <w:pPr>
        <w:spacing w:after="0" w:line="360" w:lineRule="auto"/>
        <w:ind w:firstLine="709"/>
        <w:contextualSpacing/>
        <w:jc w:val="both"/>
        <w:rPr>
          <w:rFonts w:ascii="Times New Roman" w:hAnsi="Times New Roman" w:cs="Times New Roman"/>
          <w:sz w:val="28"/>
          <w:szCs w:val="28"/>
        </w:rPr>
      </w:pPr>
      <w:r w:rsidRPr="001F0139">
        <w:rPr>
          <w:rFonts w:ascii="Times New Roman" w:hAnsi="Times New Roman" w:cs="Times New Roman"/>
          <w:sz w:val="28"/>
          <w:szCs w:val="28"/>
        </w:rPr>
        <w:t xml:space="preserve">Отсутствуют клининговые компании, предоставляющие услуги по уборке помещений, химчистки, услуги по ремонту и </w:t>
      </w:r>
      <w:r w:rsidRPr="001F0139">
        <w:rPr>
          <w:rFonts w:ascii="Times New Roman" w:hAnsi="Times New Roman" w:cs="Times New Roman"/>
          <w:sz w:val="28"/>
          <w:szCs w:val="28"/>
        </w:rPr>
        <w:br/>
        <w:t xml:space="preserve">техническому обслуживанию бытовой техники, бани, душевые и сауны, а также услуги по благоустройству территорий, садово-дачных участков, </w:t>
      </w:r>
      <w:r w:rsidRPr="001F0139">
        <w:rPr>
          <w:rFonts w:ascii="Times New Roman" w:hAnsi="Times New Roman" w:cs="Times New Roman"/>
          <w:sz w:val="28"/>
          <w:szCs w:val="28"/>
        </w:rPr>
        <w:lastRenderedPageBreak/>
        <w:t>ландшафтному дизайну и т.п. Дальнейший рост рынка бытовых услуг связан в том числе и с этими видами деятельности.</w:t>
      </w:r>
    </w:p>
    <w:p w:rsidR="00F51B81" w:rsidRPr="001F0139" w:rsidRDefault="00F51B81" w:rsidP="001F0139">
      <w:pPr>
        <w:spacing w:after="0" w:line="360" w:lineRule="auto"/>
        <w:ind w:firstLine="709"/>
        <w:contextualSpacing/>
        <w:jc w:val="both"/>
        <w:rPr>
          <w:rFonts w:ascii="Times New Roman" w:hAnsi="Times New Roman" w:cs="Times New Roman"/>
          <w:sz w:val="28"/>
          <w:szCs w:val="28"/>
        </w:rPr>
      </w:pPr>
    </w:p>
    <w:p w:rsidR="00F51B81" w:rsidRPr="001F0139" w:rsidRDefault="00F51B81" w:rsidP="001F0139">
      <w:pPr>
        <w:spacing w:after="0" w:line="360" w:lineRule="auto"/>
        <w:contextualSpacing/>
        <w:outlineLvl w:val="2"/>
        <w:rPr>
          <w:rFonts w:ascii="Times New Roman" w:hAnsi="Times New Roman" w:cs="Times New Roman"/>
          <w:b/>
          <w:color w:val="365F91"/>
          <w:sz w:val="28"/>
          <w:szCs w:val="28"/>
        </w:rPr>
      </w:pPr>
      <w:bookmarkStart w:id="34" w:name="_Toc520894842"/>
      <w:r w:rsidRPr="001F0139">
        <w:rPr>
          <w:rFonts w:ascii="Times New Roman" w:hAnsi="Times New Roman" w:cs="Times New Roman"/>
          <w:b/>
          <w:color w:val="365F91"/>
          <w:sz w:val="28"/>
          <w:szCs w:val="28"/>
        </w:rPr>
        <w:t>1.5.5 Инвестиции</w:t>
      </w:r>
      <w:bookmarkEnd w:id="34"/>
    </w:p>
    <w:p w:rsidR="00F51B81" w:rsidRPr="001F0139" w:rsidRDefault="00F51B81" w:rsidP="001F0139">
      <w:pPr>
        <w:spacing w:after="0" w:line="360" w:lineRule="auto"/>
        <w:ind w:firstLine="709"/>
        <w:jc w:val="both"/>
        <w:rPr>
          <w:rFonts w:ascii="Times New Roman" w:hAnsi="Times New Roman" w:cs="Times New Roman"/>
          <w:sz w:val="28"/>
          <w:szCs w:val="28"/>
        </w:rPr>
      </w:pP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Важнейшим экономическим показателем для социально-экономического развития является объем вовлекаемых в экономику инвестиционных ресурсов, которые во многом определяют будущее муниципального образования, его конкурентоспособность и перспективы развития. По объему инвестиций в основной капитал на душу населения Камышлинский район занимает 12 место и незначительно отстает от среднеобластного значения - 79,8 тыс. руб./чел. (рис. 1.5.14). </w:t>
      </w:r>
    </w:p>
    <w:p w:rsidR="00F51B81" w:rsidRPr="001F0139" w:rsidRDefault="00F51B81" w:rsidP="001F0139">
      <w:pPr>
        <w:spacing w:after="0" w:line="240" w:lineRule="auto"/>
        <w:jc w:val="center"/>
        <w:rPr>
          <w:rFonts w:ascii="Times New Roman" w:hAnsi="Times New Roman" w:cs="Times New Roman"/>
          <w:color w:val="FF0000"/>
          <w:sz w:val="28"/>
          <w:szCs w:val="28"/>
        </w:rPr>
      </w:pPr>
      <w:r w:rsidRPr="001F0139">
        <w:rPr>
          <w:rFonts w:ascii="Times New Roman" w:hAnsi="Times New Roman" w:cs="Times New Roman"/>
          <w:noProof/>
          <w:color w:val="FF0000"/>
          <w:sz w:val="28"/>
          <w:szCs w:val="28"/>
          <w:lang w:eastAsia="ru-RU"/>
        </w:rPr>
        <w:drawing>
          <wp:inline distT="0" distB="0" distL="0" distR="0">
            <wp:extent cx="4978783" cy="4263646"/>
            <wp:effectExtent l="19050" t="0" r="12317" b="22604"/>
            <wp:docPr id="40"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51B81" w:rsidRPr="001F0139" w:rsidRDefault="00F51B81" w:rsidP="001F0139">
      <w:pPr>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 xml:space="preserve">Рисунок </w:t>
      </w:r>
      <w:r w:rsidRPr="001F0139">
        <w:rPr>
          <w:rFonts w:ascii="Times New Roman" w:hAnsi="Times New Roman" w:cs="Times New Roman"/>
          <w:b/>
          <w:color w:val="000000"/>
          <w:sz w:val="28"/>
          <w:szCs w:val="28"/>
          <w:shd w:val="clear" w:color="auto" w:fill="FFFFFF"/>
        </w:rPr>
        <w:t xml:space="preserve">1.5.14 </w:t>
      </w:r>
      <w:r w:rsidRPr="001F0139">
        <w:rPr>
          <w:rFonts w:ascii="Times New Roman" w:hAnsi="Times New Roman" w:cs="Times New Roman"/>
          <w:b/>
          <w:sz w:val="28"/>
          <w:szCs w:val="28"/>
        </w:rPr>
        <w:t xml:space="preserve">– Инвестиции в основной капитал на душу населения </w:t>
      </w:r>
    </w:p>
    <w:p w:rsidR="00F51B81" w:rsidRPr="001F0139" w:rsidRDefault="00F51B81" w:rsidP="001F0139">
      <w:pPr>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в муниципальных районах Самарской области в 2016 г., тыс. руб./чел.</w:t>
      </w:r>
    </w:p>
    <w:p w:rsidR="00F51B81" w:rsidRPr="001F0139" w:rsidRDefault="00F51B81" w:rsidP="001F0139">
      <w:pPr>
        <w:spacing w:after="0" w:line="240" w:lineRule="auto"/>
        <w:jc w:val="center"/>
        <w:rPr>
          <w:rFonts w:ascii="Times New Roman" w:hAnsi="Times New Roman" w:cs="Times New Roman"/>
          <w:b/>
          <w:sz w:val="28"/>
          <w:szCs w:val="28"/>
        </w:rPr>
      </w:pPr>
    </w:p>
    <w:p w:rsidR="00F51B81" w:rsidRPr="001F0139" w:rsidRDefault="00F51B81"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Для района характерна положительная динамика темпов роста инвестиционных вложений (рис. 1.5.15). С 2012 года наблюдается </w:t>
      </w:r>
      <w:r w:rsidRPr="001F0139">
        <w:rPr>
          <w:rFonts w:ascii="Times New Roman" w:hAnsi="Times New Roman" w:cs="Times New Roman"/>
          <w:sz w:val="28"/>
          <w:szCs w:val="28"/>
        </w:rPr>
        <w:lastRenderedPageBreak/>
        <w:t>устойчивый рост объемов инвестиций в основной капитал в расчете на душу населения. В 2016 г. года значение данного показателя увеличилось в 2,7 раза по сравнению с предыдущим годом. Вместе с тем, инвестиции в основной капитал за счет средств муниципального бюджета сократились с 14 млн. руб. в 2012 г. до 8,4 млн. руб. в 2016 г., то есть на 40%.</w:t>
      </w:r>
    </w:p>
    <w:p w:rsidR="00F51B81" w:rsidRPr="001F0139" w:rsidRDefault="00F51B81" w:rsidP="001F0139">
      <w:pPr>
        <w:spacing w:after="0" w:line="240" w:lineRule="auto"/>
        <w:jc w:val="center"/>
        <w:rPr>
          <w:rFonts w:ascii="Times New Roman" w:hAnsi="Times New Roman" w:cs="Times New Roman"/>
          <w:color w:val="FF0000"/>
          <w:sz w:val="28"/>
          <w:szCs w:val="28"/>
        </w:rPr>
      </w:pPr>
      <w:r w:rsidRPr="001F0139">
        <w:rPr>
          <w:rFonts w:ascii="Times New Roman" w:hAnsi="Times New Roman" w:cs="Times New Roman"/>
          <w:noProof/>
          <w:color w:val="FF0000"/>
          <w:sz w:val="28"/>
          <w:szCs w:val="28"/>
          <w:lang w:eastAsia="ru-RU"/>
        </w:rPr>
        <w:drawing>
          <wp:inline distT="0" distB="0" distL="0" distR="0">
            <wp:extent cx="5695569" cy="3876167"/>
            <wp:effectExtent l="19050" t="0" r="381" b="0"/>
            <wp:docPr id="41" name="Рисунок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51B81" w:rsidRPr="001F0139" w:rsidRDefault="00F51B81" w:rsidP="001F0139">
      <w:pPr>
        <w:spacing w:after="0" w:line="240" w:lineRule="auto"/>
        <w:jc w:val="both"/>
        <w:rPr>
          <w:rFonts w:ascii="Times New Roman" w:hAnsi="Times New Roman" w:cs="Times New Roman"/>
          <w:sz w:val="20"/>
          <w:szCs w:val="20"/>
        </w:rPr>
      </w:pPr>
      <w:r w:rsidRPr="001F0139">
        <w:rPr>
          <w:rFonts w:ascii="Times New Roman" w:hAnsi="Times New Roman" w:cs="Times New Roman"/>
          <w:sz w:val="20"/>
          <w:szCs w:val="20"/>
        </w:rPr>
        <w:t>Источник: ФСГС; Доклад Главы Администрации муниципального района Камышлинский «О достигнутых значениях показателей для оценки эффективности деятельности органов местного самоуправления за 2016 год и их планируемых значениях на 3-х летний период (до 2019 года)</w:t>
      </w:r>
    </w:p>
    <w:p w:rsidR="00F51B81" w:rsidRPr="001F0139" w:rsidRDefault="00F51B81" w:rsidP="001F0139">
      <w:pPr>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 xml:space="preserve">Рисунок </w:t>
      </w:r>
      <w:r w:rsidRPr="001F0139">
        <w:rPr>
          <w:rFonts w:ascii="Times New Roman" w:hAnsi="Times New Roman" w:cs="Times New Roman"/>
          <w:b/>
          <w:color w:val="000000"/>
          <w:sz w:val="28"/>
          <w:szCs w:val="28"/>
          <w:shd w:val="clear" w:color="auto" w:fill="FFFFFF"/>
        </w:rPr>
        <w:t xml:space="preserve">1.5.15 </w:t>
      </w:r>
      <w:r w:rsidRPr="001F0139">
        <w:rPr>
          <w:rFonts w:ascii="Times New Roman" w:hAnsi="Times New Roman" w:cs="Times New Roman"/>
          <w:b/>
          <w:sz w:val="28"/>
          <w:szCs w:val="28"/>
        </w:rPr>
        <w:t xml:space="preserve">– Объем инвестиционных вложений </w:t>
      </w:r>
    </w:p>
    <w:p w:rsidR="00F51B81" w:rsidRPr="001F0139" w:rsidRDefault="00F51B81" w:rsidP="001F0139">
      <w:pPr>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в экономику Камышлинского района в 2012-2016 гг.</w:t>
      </w:r>
    </w:p>
    <w:p w:rsidR="00F51B81" w:rsidRPr="001F0139" w:rsidRDefault="00F51B81" w:rsidP="001F0139">
      <w:pPr>
        <w:spacing w:after="0" w:line="240" w:lineRule="auto"/>
        <w:jc w:val="both"/>
        <w:rPr>
          <w:rFonts w:ascii="Times New Roman" w:hAnsi="Times New Roman" w:cs="Times New Roman"/>
          <w:sz w:val="28"/>
          <w:szCs w:val="28"/>
        </w:rPr>
      </w:pPr>
    </w:p>
    <w:p w:rsidR="00F51B81" w:rsidRPr="001F0139" w:rsidRDefault="00F51B81"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увеличились в 2016 г. по сравнению с 2012 г. более, чем на 40%. Инвестиции в основной капитал организаций муниципальной формы собственности, также увеличились в 3 раза (в 2013 г. объем инвестиций составлял 7,7 млн. руб., а в 2016 г. – 24,8 млн. руб.).</w:t>
      </w:r>
    </w:p>
    <w:p w:rsidR="00F51B81" w:rsidRPr="001F0139" w:rsidRDefault="00F51B81"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Важную роль в развитии муниципального образования играют бюджетные инвестиции в инфраструктуру района, привлекаемые через участие в федеральных и областных программах. В Камышлинском районе </w:t>
      </w:r>
      <w:r w:rsidRPr="001F0139">
        <w:rPr>
          <w:rFonts w:ascii="Times New Roman" w:hAnsi="Times New Roman" w:cs="Times New Roman"/>
          <w:sz w:val="28"/>
          <w:szCs w:val="28"/>
        </w:rPr>
        <w:lastRenderedPageBreak/>
        <w:t>имеются свободные производственные площади, пригодные к размещению инвестиционных проектов.</w:t>
      </w:r>
    </w:p>
    <w:p w:rsidR="00F51B81" w:rsidRPr="001F0139" w:rsidRDefault="00F51B81"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Советом по инвестициям муниципального района Камышлинский определены основные направления инвестиционного развития: </w:t>
      </w:r>
    </w:p>
    <w:p w:rsidR="00F51B81" w:rsidRPr="001F0139" w:rsidRDefault="00F51B81"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создание новых рабочих мест в агропромышленном комплексе; </w:t>
      </w:r>
    </w:p>
    <w:p w:rsidR="00F51B81" w:rsidRPr="001F0139" w:rsidRDefault="00F51B81"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развитие социальной сферы; </w:t>
      </w:r>
    </w:p>
    <w:p w:rsidR="00F51B81" w:rsidRPr="001F0139" w:rsidRDefault="00F51B81"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развитие туризма на основе использования особенностей рельефа территории, ландшафта, благоприятных климатических и экологических условий, культурного наследия: создание объектов туристско-рекреационной сферы. </w:t>
      </w:r>
    </w:p>
    <w:p w:rsidR="00F51B81" w:rsidRPr="001F0139" w:rsidRDefault="00F51B81"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Значительные объемы капитальных вложений прогнозируются в отраслях, имеющих традиционно высокую долю в общем объеме инвестиций в целом по району: «Добыча полезных ископаемых», «Транспорт и связь», «Сельское хозяйство», «Обрабатывающие производства», «Социальная сфера». Именно эти отрасли будут оказывать определяющее воздействие на развитие промышленности и сельского хозяйства района, составлять базу экономического роста и обеспечат выполнение главной стратегической цели политики муниципального района – повышение качества жизни населения района.</w:t>
      </w:r>
    </w:p>
    <w:p w:rsidR="00F51B81" w:rsidRPr="001F0139" w:rsidRDefault="00F51B81"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К наиболее значимым инвестиционным проектам, реализуемым </w:t>
      </w:r>
      <w:r w:rsidR="008F2CB0">
        <w:rPr>
          <w:rFonts w:ascii="Times New Roman" w:hAnsi="Times New Roman" w:cs="Times New Roman"/>
          <w:sz w:val="28"/>
          <w:szCs w:val="28"/>
        </w:rPr>
        <w:t xml:space="preserve">в 2016-2018 гг. </w:t>
      </w:r>
      <w:r w:rsidRPr="001F0139">
        <w:rPr>
          <w:rFonts w:ascii="Times New Roman" w:hAnsi="Times New Roman" w:cs="Times New Roman"/>
          <w:sz w:val="28"/>
          <w:szCs w:val="28"/>
        </w:rPr>
        <w:t>за счет внебюджетных средств на территории муниципального района Камышлинский относятся: создание предприятия по выращиванию сельскохозяйственных культур (инвестор ГК «СИНКО»); финансирование сортировального и сушильного комплекса, ремонтных мастерских и линий по очистке семян (инвестор ООО «БайкомСервис»).</w:t>
      </w:r>
    </w:p>
    <w:p w:rsidR="00F51B81" w:rsidRPr="001F0139" w:rsidRDefault="00F51B81" w:rsidP="001F0139">
      <w:pPr>
        <w:spacing w:after="0" w:line="360" w:lineRule="auto"/>
        <w:ind w:firstLine="709"/>
        <w:jc w:val="both"/>
        <w:rPr>
          <w:rFonts w:ascii="Times New Roman" w:hAnsi="Times New Roman" w:cs="Times New Roman"/>
          <w:sz w:val="28"/>
          <w:szCs w:val="28"/>
        </w:rPr>
      </w:pPr>
    </w:p>
    <w:p w:rsidR="00F51B81" w:rsidRPr="001F0139" w:rsidRDefault="00F51B81" w:rsidP="001F0139">
      <w:pPr>
        <w:spacing w:after="0" w:line="360" w:lineRule="auto"/>
        <w:ind w:firstLine="709"/>
        <w:contextualSpacing/>
        <w:jc w:val="both"/>
        <w:outlineLvl w:val="2"/>
        <w:rPr>
          <w:rFonts w:ascii="Times New Roman" w:hAnsi="Times New Roman" w:cs="Times New Roman"/>
          <w:b/>
          <w:color w:val="365F91"/>
          <w:sz w:val="28"/>
          <w:szCs w:val="28"/>
        </w:rPr>
      </w:pPr>
      <w:bookmarkStart w:id="35" w:name="_Toc520894843"/>
      <w:r w:rsidRPr="001F0139">
        <w:rPr>
          <w:rFonts w:ascii="Times New Roman" w:hAnsi="Times New Roman" w:cs="Times New Roman"/>
          <w:b/>
          <w:color w:val="365F91"/>
          <w:sz w:val="28"/>
          <w:szCs w:val="28"/>
        </w:rPr>
        <w:t>1.5.6 Финансовое обеспечение развития МО и межбюджетные</w:t>
      </w:r>
      <w:bookmarkStart w:id="36" w:name="_Toc520894844"/>
      <w:bookmarkEnd w:id="35"/>
      <w:r w:rsidRPr="001F0139">
        <w:rPr>
          <w:rFonts w:ascii="Times New Roman" w:hAnsi="Times New Roman" w:cs="Times New Roman"/>
          <w:b/>
          <w:color w:val="365F91"/>
          <w:sz w:val="28"/>
          <w:szCs w:val="28"/>
        </w:rPr>
        <w:t xml:space="preserve"> отношения</w:t>
      </w:r>
      <w:bookmarkEnd w:id="36"/>
    </w:p>
    <w:p w:rsidR="00F51B81" w:rsidRPr="001F0139" w:rsidRDefault="00F51B81" w:rsidP="001F0139">
      <w:pPr>
        <w:spacing w:after="0" w:line="360" w:lineRule="auto"/>
        <w:ind w:firstLine="709"/>
        <w:jc w:val="both"/>
        <w:rPr>
          <w:rFonts w:ascii="Times New Roman" w:hAnsi="Times New Roman" w:cs="Times New Roman"/>
        </w:rPr>
      </w:pPr>
    </w:p>
    <w:p w:rsidR="00F51B81" w:rsidRPr="001F0139" w:rsidRDefault="00F51B81"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 xml:space="preserve">Для Камышлинского района основными приоритетами в реализации бюджетной и налоговой политики в 2017 году были: увеличение доходной части бюджета, оптимизация действующих расходных обязательств и повышение эффективности использования финансовых ресурсов. </w:t>
      </w:r>
    </w:p>
    <w:p w:rsidR="00F51B81" w:rsidRPr="001F0139" w:rsidRDefault="00F51B81"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За период 2012-2016 гг. наблюдалось уменьшение доходов бюджета. Поступление в 2012 г. в консолидированный бюджет района составило 262177 тыс. руб., а в 2016 г. – 204397 тыс. руб. (наибольшее значение показателя за рассматриваемый период наблюдалось в 2014 г. – 336549 тыс. руб.). </w:t>
      </w:r>
    </w:p>
    <w:p w:rsidR="00F51B81" w:rsidRPr="001F0139" w:rsidRDefault="00F51B81"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По показателю бюджетной обеспеченности за счет налоговых и неналоговых доходов на душу населения Камышлинский район в рейтинге сельских муниципальных образований занимал в 2016 г. и в 2017 г. соответственно 23 и 27 место. В те же годы по показателю «Бюджетная обеспеченность с учетом безвозмездных перечислений на душу населения» район занимал соответственно 10 и 21 место.</w:t>
      </w:r>
    </w:p>
    <w:p w:rsidR="00F51B81" w:rsidRPr="001F0139" w:rsidRDefault="00F51B81" w:rsidP="001F0139">
      <w:pPr>
        <w:widowControl w:val="0"/>
        <w:spacing w:after="0" w:line="360" w:lineRule="auto"/>
        <w:ind w:firstLine="709"/>
        <w:jc w:val="both"/>
        <w:rPr>
          <w:rFonts w:ascii="Times New Roman" w:hAnsi="Times New Roman" w:cs="Times New Roman"/>
        </w:rPr>
      </w:pPr>
      <w:r w:rsidRPr="001F0139">
        <w:rPr>
          <w:rFonts w:ascii="Times New Roman" w:hAnsi="Times New Roman" w:cs="Times New Roman"/>
          <w:sz w:val="28"/>
          <w:szCs w:val="28"/>
        </w:rPr>
        <w:t>Камышлинский район демонстрирует достаточно низкий уровень бюджетного обеспечения, но в положительной динамике: по показателю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в 2012 г. значение составило 17,2%, а в 2016 г. – 29,3%.</w:t>
      </w:r>
      <w:r w:rsidRPr="001F0139">
        <w:rPr>
          <w:rFonts w:ascii="Times New Roman" w:hAnsi="Times New Roman" w:cs="Times New Roman"/>
        </w:rPr>
        <w:t xml:space="preserve"> </w:t>
      </w: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В структуре доходов (кроме 2012 г.) наибольшую долю составляют безвозмездные поступления. В 2016 г. доля безвозмездных поступлений составила 66%. Налоговые доходы в 2016 г. выросли по отношению к 2012 г. почти в 2 раза и составили 45979 тыс. руб. неналоговые доходы снизились в 3,5 раза (рис. 1.5.16). Удельный вес налоговых и неналоговых поступлений в общей сумме доходов составил 29,8% (в 2012 г. – 29,3%).</w:t>
      </w:r>
    </w:p>
    <w:p w:rsidR="00F51B81" w:rsidRPr="001F0139" w:rsidRDefault="00F51B81" w:rsidP="001F0139">
      <w:pPr>
        <w:widowControl w:val="0"/>
        <w:spacing w:after="0" w:line="240" w:lineRule="auto"/>
        <w:jc w:val="center"/>
        <w:rPr>
          <w:rFonts w:ascii="Times New Roman" w:hAnsi="Times New Roman" w:cs="Times New Roman"/>
        </w:rPr>
      </w:pPr>
      <w:r w:rsidRPr="001F0139">
        <w:rPr>
          <w:rFonts w:ascii="Times New Roman" w:hAnsi="Times New Roman" w:cs="Times New Roman"/>
          <w:noProof/>
          <w:lang w:eastAsia="ru-RU"/>
        </w:rPr>
        <w:lastRenderedPageBreak/>
        <w:drawing>
          <wp:inline distT="0" distB="0" distL="0" distR="0">
            <wp:extent cx="5754626" cy="3140583"/>
            <wp:effectExtent l="0" t="0" r="0" b="0"/>
            <wp:docPr id="42"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51B81" w:rsidRPr="001F0139" w:rsidRDefault="00F51B81" w:rsidP="001F0139">
      <w:pPr>
        <w:widowControl w:val="0"/>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 xml:space="preserve">Рисунок </w:t>
      </w:r>
      <w:r w:rsidRPr="001F0139">
        <w:rPr>
          <w:rFonts w:ascii="Times New Roman" w:hAnsi="Times New Roman" w:cs="Times New Roman"/>
          <w:b/>
          <w:color w:val="000000"/>
          <w:sz w:val="28"/>
          <w:szCs w:val="28"/>
          <w:shd w:val="clear" w:color="auto" w:fill="FFFFFF"/>
        </w:rPr>
        <w:t xml:space="preserve">1.5.16 </w:t>
      </w:r>
      <w:r w:rsidRPr="001F0139">
        <w:rPr>
          <w:rFonts w:ascii="Times New Roman" w:hAnsi="Times New Roman" w:cs="Times New Roman"/>
          <w:b/>
          <w:sz w:val="28"/>
          <w:szCs w:val="28"/>
        </w:rPr>
        <w:t>- Структура доходов консолидированного бюджета Камышлинского района за 2012-2016 гг., тыс. руб.</w:t>
      </w:r>
    </w:p>
    <w:p w:rsidR="00F51B81" w:rsidRPr="001F0139" w:rsidRDefault="00F51B81" w:rsidP="001F0139">
      <w:pPr>
        <w:widowControl w:val="0"/>
        <w:spacing w:after="0" w:line="240" w:lineRule="auto"/>
        <w:jc w:val="center"/>
        <w:rPr>
          <w:rFonts w:ascii="Times New Roman" w:hAnsi="Times New Roman" w:cs="Times New Roman"/>
          <w:sz w:val="28"/>
          <w:szCs w:val="28"/>
        </w:rPr>
      </w:pP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 структуре налоговой части доходов наибольшая доля приходится на налоги на доходы физических лиц (33,5%), единый налог на вмененный доход (31,5%) и прочие налоговые доходы (23,8%) (рис. 1.5.17). </w:t>
      </w:r>
    </w:p>
    <w:p w:rsidR="00F51B81" w:rsidRPr="001F0139" w:rsidRDefault="00F51B81" w:rsidP="001F0139">
      <w:pPr>
        <w:widowControl w:val="0"/>
        <w:spacing w:after="0" w:line="240" w:lineRule="auto"/>
        <w:jc w:val="center"/>
        <w:rPr>
          <w:rFonts w:ascii="Times New Roman" w:hAnsi="Times New Roman" w:cs="Times New Roman"/>
          <w:sz w:val="28"/>
          <w:szCs w:val="28"/>
        </w:rPr>
      </w:pPr>
      <w:r w:rsidRPr="001F0139">
        <w:rPr>
          <w:rFonts w:ascii="Times New Roman" w:hAnsi="Times New Roman" w:cs="Times New Roman"/>
          <w:noProof/>
          <w:sz w:val="28"/>
          <w:szCs w:val="28"/>
          <w:lang w:eastAsia="ru-RU"/>
        </w:rPr>
        <w:drawing>
          <wp:inline distT="0" distB="0" distL="0" distR="0">
            <wp:extent cx="5128389" cy="2573403"/>
            <wp:effectExtent l="0" t="0" r="0" b="0"/>
            <wp:docPr id="43"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51B81" w:rsidRPr="001F0139" w:rsidRDefault="00F51B81" w:rsidP="001F0139">
      <w:pPr>
        <w:widowControl w:val="0"/>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 xml:space="preserve">Рисунок </w:t>
      </w:r>
      <w:r w:rsidRPr="001F0139">
        <w:rPr>
          <w:rFonts w:ascii="Times New Roman" w:hAnsi="Times New Roman" w:cs="Times New Roman"/>
          <w:b/>
          <w:color w:val="000000"/>
          <w:sz w:val="28"/>
          <w:szCs w:val="28"/>
          <w:shd w:val="clear" w:color="auto" w:fill="FFFFFF"/>
        </w:rPr>
        <w:t xml:space="preserve">1.5.17 </w:t>
      </w:r>
      <w:r w:rsidRPr="001F0139">
        <w:rPr>
          <w:rFonts w:ascii="Times New Roman" w:hAnsi="Times New Roman" w:cs="Times New Roman"/>
          <w:b/>
          <w:sz w:val="28"/>
          <w:szCs w:val="28"/>
        </w:rPr>
        <w:t>- Состав налоговой части доходов консолидированного бюджета Камышлинского района за 2016 г., тыс. руб.</w:t>
      </w: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За период 2012-2016 гг. динамика величины дохода от большинства налогов имела устойчивую тенденцию роста. В частности, за рассматриваемый период доход от земельного налога увеличился в 3 раза, от прочих налоговых доходов – в 7 раз, от единого налога на вмененный доход – </w:t>
      </w:r>
      <w:r w:rsidRPr="001F0139">
        <w:rPr>
          <w:rFonts w:ascii="Times New Roman" w:hAnsi="Times New Roman" w:cs="Times New Roman"/>
          <w:sz w:val="28"/>
          <w:szCs w:val="28"/>
        </w:rPr>
        <w:lastRenderedPageBreak/>
        <w:t xml:space="preserve">в 10 раз. </w:t>
      </w:r>
    </w:p>
    <w:p w:rsidR="008963BE" w:rsidRDefault="00F51B81" w:rsidP="008963BE">
      <w:pPr>
        <w:ind w:firstLine="831"/>
        <w:jc w:val="both"/>
        <w:rPr>
          <w:rFonts w:ascii="Times New Roman" w:hAnsi="Times New Roman" w:cs="Times New Roman"/>
          <w:color w:val="000000"/>
          <w:sz w:val="28"/>
          <w:szCs w:val="28"/>
        </w:rPr>
      </w:pPr>
      <w:r w:rsidRPr="001F0139">
        <w:rPr>
          <w:rFonts w:ascii="Times New Roman" w:hAnsi="Times New Roman" w:cs="Times New Roman"/>
          <w:sz w:val="28"/>
          <w:szCs w:val="28"/>
        </w:rPr>
        <w:t>Безвозмездные поступления в 2016 г. составили 135 млн. руб., что на 27</w:t>
      </w:r>
      <w:r w:rsidR="001E59F6">
        <w:rPr>
          <w:rFonts w:ascii="Times New Roman" w:hAnsi="Times New Roman" w:cs="Times New Roman"/>
          <w:sz w:val="28"/>
          <w:szCs w:val="28"/>
        </w:rPr>
        <w:t>% меньше по сравнению с 2012 г.</w:t>
      </w:r>
      <w:r w:rsidRPr="001F0139">
        <w:rPr>
          <w:rFonts w:ascii="Times New Roman" w:hAnsi="Times New Roman" w:cs="Times New Roman"/>
          <w:sz w:val="28"/>
          <w:szCs w:val="28"/>
        </w:rPr>
        <w:t xml:space="preserve"> </w:t>
      </w:r>
      <w:r w:rsidR="008963BE">
        <w:rPr>
          <w:rFonts w:ascii="Times New Roman" w:hAnsi="Times New Roman" w:cs="Times New Roman"/>
          <w:color w:val="000000"/>
          <w:sz w:val="28"/>
          <w:szCs w:val="28"/>
        </w:rPr>
        <w:t>Это связано с уменьшением объемов субсидий, полученных из областного и федерального бюджет</w:t>
      </w:r>
      <w:r w:rsidR="00B530B8">
        <w:rPr>
          <w:rFonts w:ascii="Times New Roman" w:hAnsi="Times New Roman" w:cs="Times New Roman"/>
          <w:color w:val="000000"/>
          <w:sz w:val="28"/>
          <w:szCs w:val="28"/>
        </w:rPr>
        <w:t>а</w:t>
      </w:r>
      <w:r w:rsidR="008963BE">
        <w:rPr>
          <w:rFonts w:ascii="Times New Roman" w:hAnsi="Times New Roman" w:cs="Times New Roman"/>
          <w:color w:val="000000"/>
          <w:sz w:val="28"/>
          <w:szCs w:val="28"/>
        </w:rPr>
        <w:t xml:space="preserve">. </w:t>
      </w: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Структура безвозмездных поступлений следующая:</w:t>
      </w: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дотации составили 37134 тыс.руб. (в 2012 г. – 38564 тыс. руб.); </w:t>
      </w: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субсидии составили 37049 тыс. руб. (в 1,7 раз меньше, чем в 2012 г.); </w:t>
      </w: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w:t>
      </w:r>
      <w:r w:rsidRPr="001F0139">
        <w:rPr>
          <w:rFonts w:ascii="Times New Roman" w:hAnsi="Times New Roman" w:cs="Times New Roman"/>
          <w:spacing w:val="-20"/>
          <w:sz w:val="28"/>
          <w:szCs w:val="28"/>
        </w:rPr>
        <w:t>субвенции составили 26443 тыс. руб. (в 2,5 раза меньше, чем в 2012 г.);</w:t>
      </w:r>
      <w:r w:rsidRPr="001F0139">
        <w:rPr>
          <w:rFonts w:ascii="Times New Roman" w:hAnsi="Times New Roman" w:cs="Times New Roman"/>
          <w:sz w:val="28"/>
          <w:szCs w:val="28"/>
        </w:rPr>
        <w:t xml:space="preserve"> </w:t>
      </w: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иные межбюджетные трансферты составили 204 тыс. руб. (в 72 раза меньше, чем в 2012 г.). </w:t>
      </w: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По показателю дохода местного бюджета на душу населения муниципальный район Камышлинский в рейтинге муниципальных образований в 2016 году занимает достаточно высокое 10 место с суммой средств 18144,6 руб. при среднеобластном значении 19181,4 руб. (рис. 1.5.18).</w:t>
      </w: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Расходная часть консолидированного бюджета Камышлинского района уменьшилась с 251756 тыс. руб. в 2012 г. до 202613 тыс. руб. в 2016 г. Положительным моментом является профицит бюджета в 2016 г. в сумме 1784 тыс. руб. Значительный удельный вес в расходной части бюджета занимают расходы на функционирование местных администраций – 25% (в 2012 г. – 14,5%), на национальную экономику – 19,8% (в 2012 г. – 6,5%), на культуру – 16,7% (в 2012 г. – 12,5%), на социальную политику – 14,9% (в 2012 г. – 13,5%). </w:t>
      </w:r>
    </w:p>
    <w:p w:rsidR="00F51B81" w:rsidRPr="001F0139" w:rsidRDefault="00F51B81" w:rsidP="001F0139">
      <w:pPr>
        <w:widowControl w:val="0"/>
        <w:spacing w:after="0" w:line="360" w:lineRule="auto"/>
        <w:jc w:val="center"/>
        <w:rPr>
          <w:rFonts w:ascii="Times New Roman" w:hAnsi="Times New Roman" w:cs="Times New Roman"/>
          <w:sz w:val="28"/>
          <w:szCs w:val="28"/>
        </w:rPr>
      </w:pPr>
      <w:r w:rsidRPr="001F0139">
        <w:rPr>
          <w:rFonts w:ascii="Times New Roman" w:hAnsi="Times New Roman" w:cs="Times New Roman"/>
          <w:noProof/>
          <w:sz w:val="28"/>
          <w:szCs w:val="28"/>
          <w:lang w:eastAsia="ru-RU"/>
        </w:rPr>
        <w:lastRenderedPageBreak/>
        <w:drawing>
          <wp:inline distT="0" distB="0" distL="0" distR="0">
            <wp:extent cx="4438015" cy="3834130"/>
            <wp:effectExtent l="19050" t="0" r="635" b="0"/>
            <wp:docPr id="44" name="Диаграмма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0"/>
                    <pic:cNvPicPr>
                      <a:picLocks noChangeArrowheads="1"/>
                    </pic:cNvPicPr>
                  </pic:nvPicPr>
                  <pic:blipFill>
                    <a:blip r:embed="rId63" cstate="print"/>
                    <a:srcRect/>
                    <a:stretch>
                      <a:fillRect/>
                    </a:stretch>
                  </pic:blipFill>
                  <pic:spPr bwMode="auto">
                    <a:xfrm>
                      <a:off x="0" y="0"/>
                      <a:ext cx="4438015" cy="3834130"/>
                    </a:xfrm>
                    <a:prstGeom prst="rect">
                      <a:avLst/>
                    </a:prstGeom>
                    <a:noFill/>
                    <a:ln w="9525">
                      <a:noFill/>
                      <a:miter lim="800000"/>
                      <a:headEnd/>
                      <a:tailEnd/>
                    </a:ln>
                  </pic:spPr>
                </pic:pic>
              </a:graphicData>
            </a:graphic>
          </wp:inline>
        </w:drawing>
      </w:r>
    </w:p>
    <w:p w:rsidR="00F51B81" w:rsidRPr="001F0139" w:rsidRDefault="00F51B81" w:rsidP="001F0139">
      <w:pPr>
        <w:spacing w:after="0" w:line="240" w:lineRule="auto"/>
        <w:ind w:firstLine="426"/>
        <w:jc w:val="both"/>
        <w:rPr>
          <w:rFonts w:ascii="Times New Roman" w:hAnsi="Times New Roman" w:cs="Times New Roman"/>
          <w:sz w:val="20"/>
          <w:szCs w:val="20"/>
        </w:rPr>
      </w:pPr>
      <w:r w:rsidRPr="001F0139">
        <w:rPr>
          <w:rFonts w:ascii="Times New Roman" w:hAnsi="Times New Roman" w:cs="Times New Roman"/>
          <w:sz w:val="20"/>
          <w:szCs w:val="20"/>
        </w:rPr>
        <w:t xml:space="preserve">Источник: ФСГС: Социально-экономические показатели муниципальных районов и </w:t>
      </w:r>
      <w:r w:rsidR="001F0139">
        <w:rPr>
          <w:rFonts w:ascii="Times New Roman" w:hAnsi="Times New Roman" w:cs="Times New Roman"/>
          <w:sz w:val="20"/>
          <w:szCs w:val="20"/>
        </w:rPr>
        <w:t>район</w:t>
      </w:r>
      <w:r w:rsidRPr="001F0139">
        <w:rPr>
          <w:rFonts w:ascii="Times New Roman" w:hAnsi="Times New Roman" w:cs="Times New Roman"/>
          <w:sz w:val="20"/>
          <w:szCs w:val="20"/>
        </w:rPr>
        <w:t>ских округов Самарской области, 2016</w:t>
      </w:r>
    </w:p>
    <w:p w:rsidR="00F51B81" w:rsidRPr="001F0139" w:rsidRDefault="00F51B81" w:rsidP="001F0139">
      <w:pPr>
        <w:widowControl w:val="0"/>
        <w:spacing w:after="0" w:line="240" w:lineRule="auto"/>
        <w:ind w:firstLine="709"/>
        <w:jc w:val="center"/>
        <w:rPr>
          <w:rFonts w:ascii="Times New Roman" w:hAnsi="Times New Roman" w:cs="Times New Roman"/>
          <w:b/>
          <w:sz w:val="28"/>
          <w:szCs w:val="28"/>
        </w:rPr>
      </w:pPr>
      <w:r w:rsidRPr="001F0139">
        <w:rPr>
          <w:rFonts w:ascii="Times New Roman" w:hAnsi="Times New Roman" w:cs="Times New Roman"/>
          <w:b/>
          <w:sz w:val="28"/>
          <w:szCs w:val="28"/>
        </w:rPr>
        <w:t xml:space="preserve">Рисунок </w:t>
      </w:r>
      <w:r w:rsidRPr="001F0139">
        <w:rPr>
          <w:rFonts w:ascii="Times New Roman" w:hAnsi="Times New Roman" w:cs="Times New Roman"/>
          <w:b/>
          <w:color w:val="000000"/>
          <w:sz w:val="28"/>
          <w:szCs w:val="28"/>
          <w:shd w:val="clear" w:color="auto" w:fill="FFFFFF"/>
        </w:rPr>
        <w:t xml:space="preserve">1.5.18 </w:t>
      </w:r>
      <w:r w:rsidRPr="001F0139">
        <w:rPr>
          <w:rFonts w:ascii="Times New Roman" w:hAnsi="Times New Roman" w:cs="Times New Roman"/>
          <w:b/>
          <w:sz w:val="28"/>
          <w:szCs w:val="28"/>
        </w:rPr>
        <w:t xml:space="preserve">– Доходы местного бюджета на душу населения </w:t>
      </w:r>
    </w:p>
    <w:p w:rsidR="00F51B81" w:rsidRPr="001F0139" w:rsidRDefault="00F51B81" w:rsidP="001F0139">
      <w:pPr>
        <w:widowControl w:val="0"/>
        <w:spacing w:after="0" w:line="240" w:lineRule="auto"/>
        <w:ind w:firstLine="709"/>
        <w:jc w:val="center"/>
        <w:rPr>
          <w:rFonts w:ascii="Times New Roman" w:hAnsi="Times New Roman" w:cs="Times New Roman"/>
          <w:b/>
          <w:sz w:val="28"/>
          <w:szCs w:val="28"/>
        </w:rPr>
      </w:pPr>
      <w:r w:rsidRPr="001F0139">
        <w:rPr>
          <w:rFonts w:ascii="Times New Roman" w:hAnsi="Times New Roman" w:cs="Times New Roman"/>
          <w:b/>
          <w:sz w:val="28"/>
          <w:szCs w:val="28"/>
        </w:rPr>
        <w:t>муниципальных районов Самарской области за 2016 г., руб.</w:t>
      </w: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Расходы на жилищно-коммунальное хозяйство занимают 8,9% (в 2012 г. – 25,6%), на образование – 7,9 % (в 2012г. – 8,1%), на прочие расходы – 6,4% (в 2012 г. – 8,4%), на функционирование представительных органов муниципальных образований – 0,4% (в 2012 г. – 0,7%). На физическую культуру и спорт было потрачено 0,1% бюджета 2016 г. при отсутствии финансирования в 2012 г. Здравоохранение не финансировалось в 2016 г. из средств бюджета района, хотя в 2012 г. доля расходов на него составляла 10,3% (рис. 1.5.19).</w:t>
      </w:r>
    </w:p>
    <w:p w:rsidR="00F51B81" w:rsidRPr="001F0139" w:rsidRDefault="00F51B81" w:rsidP="001F0139">
      <w:pPr>
        <w:widowControl w:val="0"/>
        <w:spacing w:after="0" w:line="360" w:lineRule="auto"/>
        <w:ind w:firstLine="709"/>
        <w:jc w:val="both"/>
        <w:rPr>
          <w:rFonts w:ascii="Times New Roman" w:hAnsi="Times New Roman" w:cs="Times New Roman"/>
          <w:sz w:val="32"/>
          <w:szCs w:val="32"/>
        </w:rPr>
      </w:pPr>
    </w:p>
    <w:p w:rsidR="00F51B81" w:rsidRPr="001F0139" w:rsidRDefault="00F51B81" w:rsidP="001F0139">
      <w:pPr>
        <w:widowControl w:val="0"/>
        <w:spacing w:after="0" w:line="240" w:lineRule="auto"/>
        <w:jc w:val="center"/>
        <w:rPr>
          <w:rFonts w:ascii="Times New Roman" w:hAnsi="Times New Roman" w:cs="Times New Roman"/>
        </w:rPr>
      </w:pPr>
      <w:r w:rsidRPr="001F0139">
        <w:rPr>
          <w:rFonts w:ascii="Times New Roman" w:hAnsi="Times New Roman" w:cs="Times New Roman"/>
          <w:noProof/>
          <w:lang w:eastAsia="ru-RU"/>
        </w:rPr>
        <w:lastRenderedPageBreak/>
        <w:drawing>
          <wp:inline distT="0" distB="0" distL="0" distR="0">
            <wp:extent cx="5207891" cy="3149984"/>
            <wp:effectExtent l="0" t="0" r="0" b="0"/>
            <wp:docPr id="45" name="Диаграм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51B81" w:rsidRPr="001F0139" w:rsidRDefault="00F51B81" w:rsidP="001F0139">
      <w:pPr>
        <w:widowControl w:val="0"/>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 xml:space="preserve">Рисунок </w:t>
      </w:r>
      <w:r w:rsidRPr="001F0139">
        <w:rPr>
          <w:rFonts w:ascii="Times New Roman" w:hAnsi="Times New Roman" w:cs="Times New Roman"/>
          <w:b/>
          <w:color w:val="000000"/>
          <w:sz w:val="28"/>
          <w:szCs w:val="28"/>
          <w:shd w:val="clear" w:color="auto" w:fill="FFFFFF"/>
        </w:rPr>
        <w:t xml:space="preserve">1.5.19 </w:t>
      </w:r>
      <w:r w:rsidRPr="001F0139">
        <w:rPr>
          <w:rFonts w:ascii="Times New Roman" w:hAnsi="Times New Roman" w:cs="Times New Roman"/>
          <w:b/>
          <w:sz w:val="28"/>
          <w:szCs w:val="28"/>
        </w:rPr>
        <w:t xml:space="preserve">- Структура расходной части бюджета </w:t>
      </w:r>
    </w:p>
    <w:p w:rsidR="00F51B81" w:rsidRPr="001F0139" w:rsidRDefault="00F51B81" w:rsidP="001F0139">
      <w:pPr>
        <w:widowControl w:val="0"/>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 xml:space="preserve">Камышлинского района в 2012 и 2016годах, тыс. руб. </w:t>
      </w:r>
    </w:p>
    <w:p w:rsidR="00F51B81" w:rsidRPr="001F0139" w:rsidRDefault="00F51B81" w:rsidP="001F0139">
      <w:pPr>
        <w:widowControl w:val="0"/>
        <w:spacing w:after="0" w:line="240" w:lineRule="auto"/>
        <w:jc w:val="both"/>
        <w:rPr>
          <w:rFonts w:ascii="Times New Roman" w:hAnsi="Times New Roman" w:cs="Times New Roman"/>
          <w:sz w:val="20"/>
          <w:szCs w:val="20"/>
        </w:rPr>
      </w:pP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 рейтинге сельских муниципальных образований по расходам местного бюджета на душу населения Камышлинский район занимает 11 место (при среднем значении по области – 18637,1 руб.) (рис. 1.5.20). </w:t>
      </w:r>
    </w:p>
    <w:p w:rsidR="00F51B81" w:rsidRPr="001F0139" w:rsidRDefault="00F51B81" w:rsidP="001F0139">
      <w:pPr>
        <w:widowControl w:val="0"/>
        <w:spacing w:after="0" w:line="240" w:lineRule="auto"/>
        <w:jc w:val="center"/>
        <w:rPr>
          <w:rFonts w:ascii="Times New Roman" w:hAnsi="Times New Roman" w:cs="Times New Roman"/>
          <w:sz w:val="28"/>
          <w:szCs w:val="28"/>
        </w:rPr>
      </w:pPr>
      <w:r w:rsidRPr="001F0139">
        <w:rPr>
          <w:rFonts w:ascii="Times New Roman" w:hAnsi="Times New Roman" w:cs="Times New Roman"/>
          <w:noProof/>
          <w:sz w:val="28"/>
          <w:szCs w:val="28"/>
          <w:lang w:eastAsia="ru-RU"/>
        </w:rPr>
        <w:drawing>
          <wp:inline distT="0" distB="0" distL="0" distR="0">
            <wp:extent cx="4583684" cy="3755136"/>
            <wp:effectExtent l="19050" t="0" r="26416" b="0"/>
            <wp:docPr id="46"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51B81" w:rsidRPr="001F0139" w:rsidRDefault="00F51B81"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sz w:val="20"/>
          <w:szCs w:val="20"/>
        </w:rPr>
        <w:t xml:space="preserve">Источник: ФСГС: Социально-экономические показатели муниципальных районов </w:t>
      </w:r>
    </w:p>
    <w:p w:rsidR="00F51B81" w:rsidRPr="001F0139" w:rsidRDefault="00F51B81" w:rsidP="001F0139">
      <w:pPr>
        <w:spacing w:after="0" w:line="240" w:lineRule="auto"/>
        <w:jc w:val="center"/>
        <w:rPr>
          <w:rFonts w:ascii="Times New Roman" w:hAnsi="Times New Roman" w:cs="Times New Roman"/>
          <w:sz w:val="20"/>
          <w:szCs w:val="20"/>
        </w:rPr>
      </w:pPr>
      <w:r w:rsidRPr="001F0139">
        <w:rPr>
          <w:rFonts w:ascii="Times New Roman" w:hAnsi="Times New Roman" w:cs="Times New Roman"/>
          <w:sz w:val="20"/>
          <w:szCs w:val="20"/>
        </w:rPr>
        <w:t xml:space="preserve">и </w:t>
      </w:r>
      <w:r w:rsidR="001F0139">
        <w:rPr>
          <w:rFonts w:ascii="Times New Roman" w:hAnsi="Times New Roman" w:cs="Times New Roman"/>
          <w:sz w:val="20"/>
          <w:szCs w:val="20"/>
        </w:rPr>
        <w:t>район</w:t>
      </w:r>
      <w:r w:rsidRPr="001F0139">
        <w:rPr>
          <w:rFonts w:ascii="Times New Roman" w:hAnsi="Times New Roman" w:cs="Times New Roman"/>
          <w:sz w:val="20"/>
          <w:szCs w:val="20"/>
        </w:rPr>
        <w:t>ских округов Самарской области, 2016</w:t>
      </w:r>
    </w:p>
    <w:p w:rsidR="00F51B81" w:rsidRPr="001F0139" w:rsidRDefault="00F51B81" w:rsidP="001F0139">
      <w:pPr>
        <w:widowControl w:val="0"/>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 xml:space="preserve">Рисунок </w:t>
      </w:r>
      <w:r w:rsidRPr="001F0139">
        <w:rPr>
          <w:rFonts w:ascii="Times New Roman" w:hAnsi="Times New Roman" w:cs="Times New Roman"/>
          <w:b/>
          <w:color w:val="000000"/>
          <w:sz w:val="28"/>
          <w:szCs w:val="28"/>
          <w:shd w:val="clear" w:color="auto" w:fill="FFFFFF"/>
        </w:rPr>
        <w:t xml:space="preserve">1.5.20 </w:t>
      </w:r>
      <w:r w:rsidRPr="001F0139">
        <w:rPr>
          <w:rFonts w:ascii="Times New Roman" w:hAnsi="Times New Roman" w:cs="Times New Roman"/>
          <w:b/>
          <w:sz w:val="28"/>
          <w:szCs w:val="28"/>
        </w:rPr>
        <w:t>– Расходы местного бюджета на душу населения</w:t>
      </w:r>
    </w:p>
    <w:p w:rsidR="00F51B81" w:rsidRPr="001F0139" w:rsidRDefault="00F51B81" w:rsidP="001F0139">
      <w:pPr>
        <w:widowControl w:val="0"/>
        <w:spacing w:after="0" w:line="240" w:lineRule="auto"/>
        <w:jc w:val="center"/>
        <w:rPr>
          <w:rFonts w:ascii="Times New Roman" w:hAnsi="Times New Roman" w:cs="Times New Roman"/>
          <w:b/>
          <w:sz w:val="28"/>
          <w:szCs w:val="28"/>
        </w:rPr>
      </w:pPr>
      <w:r w:rsidRPr="001F0139">
        <w:rPr>
          <w:rFonts w:ascii="Times New Roman" w:hAnsi="Times New Roman" w:cs="Times New Roman"/>
          <w:b/>
          <w:sz w:val="28"/>
          <w:szCs w:val="28"/>
        </w:rPr>
        <w:t>муниципальных районов Самарской области за 2016 г., руб.</w:t>
      </w: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В 2017 году объём дотаций на выравнивание бюджетной обеспеченности муниципальных районов по сравнению с 2016 годом уменьшил</w:t>
      </w:r>
      <w:r w:rsidR="001E59F6">
        <w:rPr>
          <w:rFonts w:ascii="Times New Roman" w:hAnsi="Times New Roman" w:cs="Times New Roman"/>
          <w:sz w:val="28"/>
          <w:szCs w:val="28"/>
        </w:rPr>
        <w:t>ся</w:t>
      </w:r>
      <w:r w:rsidRPr="001F0139">
        <w:rPr>
          <w:rFonts w:ascii="Times New Roman" w:hAnsi="Times New Roman" w:cs="Times New Roman"/>
          <w:sz w:val="28"/>
          <w:szCs w:val="28"/>
        </w:rPr>
        <w:t xml:space="preserve">. Однако в связи со структурными изменениями в распределении, прежде всего, налогового потенциала по земельному налогу (его сокращение по </w:t>
      </w:r>
      <w:r w:rsidR="006A37B1">
        <w:rPr>
          <w:rFonts w:ascii="Times New Roman" w:hAnsi="Times New Roman" w:cs="Times New Roman"/>
          <w:sz w:val="28"/>
          <w:szCs w:val="28"/>
        </w:rPr>
        <w:t>город</w:t>
      </w:r>
      <w:r w:rsidRPr="001F0139">
        <w:rPr>
          <w:rFonts w:ascii="Times New Roman" w:hAnsi="Times New Roman" w:cs="Times New Roman"/>
          <w:sz w:val="28"/>
          <w:szCs w:val="28"/>
        </w:rPr>
        <w:t xml:space="preserve">ским округам и увеличение по муниципальным районам) произошло перераспределение дотаций от бюджетов муниципальных районов в пользу бюджетов </w:t>
      </w:r>
      <w:r w:rsidR="006A37B1">
        <w:rPr>
          <w:rFonts w:ascii="Times New Roman" w:hAnsi="Times New Roman" w:cs="Times New Roman"/>
          <w:sz w:val="28"/>
          <w:szCs w:val="28"/>
        </w:rPr>
        <w:t>город</w:t>
      </w:r>
      <w:r w:rsidRPr="001F0139">
        <w:rPr>
          <w:rFonts w:ascii="Times New Roman" w:hAnsi="Times New Roman" w:cs="Times New Roman"/>
          <w:sz w:val="28"/>
          <w:szCs w:val="28"/>
        </w:rPr>
        <w:t xml:space="preserve">ских округов. </w:t>
      </w: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Указанные перераспределения частично нивелируются за счёт другой формы финансовой поддержки – стимулирующих субсидий, в составе которых в 2017 году бюджетам муниципальных районов была предусмотрена компенсация сокращения дотаций на выравнивание в виде возмещения выпадающих доходов. </w:t>
      </w: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Кроме того, в составе бюджета министерства сельского хозяйства и продовольствия Самарской области с 2017 года бюджетам муниципальных районов была перечислена дотация на стимулирование роста налогового потенциала территории муниципального образования в связи с созданием условий органами местного самоуправления муниципальных образований в Самарской области для развития сельскохозяйственного производства. </w:t>
      </w: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С 2017 года появился ещё один новый вид дотации – на стимулирование предоставления государственных услуг через МФЦ (объём этих дотаций будет определяться исходя из 50%-ного уровня платы за предоставление федеральными органами сведений через МФЦ за отчётный период). </w:t>
      </w: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С 2017 года из состава стимулирующих субсидий (исключительно в части бюджетов муниципальных районов) выведены средства на поддержку сельскохозяйственного производства. Данная поддержка с 2017 года осуществлялась напрямую министерством сельского хозяйства и продовольствия Самарской области. При этом данные изменения не затрагивают бюджеты поселений (у них сохранится составляющая, связанная с развитием сельского хозяйства). </w:t>
      </w:r>
    </w:p>
    <w:p w:rsidR="00F51B81" w:rsidRPr="001F0139" w:rsidRDefault="00F51B81" w:rsidP="001F0139">
      <w:pPr>
        <w:widowControl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С 2017 года изменилась ситуация, связанная с оперативным расходованием узкоцелевых субсидий. В соответствии с новыми общими условиями предоставления и расходования субсидий для главных распорядителей бюджетных средств устанавливаются жёсткие сроки их распределения между местными бюджетами – до 1 марта, в случае если субсидии были изначально предусмотрены в областном бюджете, и в течение 45 дней при внесении изменений в бюджет. Кроме того, главные распорядители бюджетных средств обязаны в течение 15 рабочих дней со дня распределения субсидий заключить с органами местного самоуправления соглашения, если их заключение предполагает порядок расходования субсидий. Также должны будут устанавливаться конкретные сроки, связанные с процедурой расходования средств органами местного самоуправления (начало конкурсных процедур, принятие необходимых муниципальных нормативных правовых актов и т.п.). Всё это позволит сократить сроки нахождения финансовых ресурсов на счетах областного и местных бюджетов, а, значит, повысит эффективность расходования бюджетных средств.</w:t>
      </w:r>
    </w:p>
    <w:p w:rsidR="00F51B81" w:rsidRPr="001F0139" w:rsidRDefault="00F51B81" w:rsidP="001F0139">
      <w:pPr>
        <w:widowControl w:val="0"/>
        <w:spacing w:after="0" w:line="360" w:lineRule="auto"/>
        <w:ind w:firstLine="709"/>
        <w:jc w:val="both"/>
        <w:rPr>
          <w:rFonts w:ascii="Times New Roman" w:hAnsi="Times New Roman" w:cs="Times New Roman"/>
          <w:sz w:val="20"/>
          <w:szCs w:val="20"/>
        </w:rPr>
      </w:pPr>
    </w:p>
    <w:p w:rsidR="00F51B81" w:rsidRPr="001F0139" w:rsidRDefault="00F51B81" w:rsidP="001F0139">
      <w:pPr>
        <w:spacing w:after="0" w:line="360" w:lineRule="auto"/>
        <w:contextualSpacing/>
        <w:outlineLvl w:val="2"/>
        <w:rPr>
          <w:rFonts w:ascii="Times New Roman" w:hAnsi="Times New Roman" w:cs="Times New Roman"/>
          <w:b/>
          <w:color w:val="365F91"/>
          <w:sz w:val="28"/>
          <w:szCs w:val="28"/>
        </w:rPr>
      </w:pPr>
      <w:bookmarkStart w:id="37" w:name="_Toc520894845"/>
      <w:r w:rsidRPr="001F0139">
        <w:rPr>
          <w:rFonts w:ascii="Times New Roman" w:hAnsi="Times New Roman" w:cs="Times New Roman"/>
          <w:b/>
          <w:color w:val="365F91"/>
          <w:sz w:val="28"/>
          <w:szCs w:val="28"/>
        </w:rPr>
        <w:t>1.5.7 Муниципальное управление</w:t>
      </w:r>
      <w:bookmarkEnd w:id="37"/>
    </w:p>
    <w:p w:rsidR="00F51B81" w:rsidRPr="001F0139" w:rsidRDefault="00F51B81" w:rsidP="001F0139">
      <w:pPr>
        <w:spacing w:after="0"/>
        <w:rPr>
          <w:rFonts w:ascii="Times New Roman" w:hAnsi="Times New Roman" w:cs="Times New Roman"/>
          <w:sz w:val="20"/>
          <w:szCs w:val="20"/>
        </w:rPr>
      </w:pPr>
    </w:p>
    <w:p w:rsidR="00F51B81" w:rsidRPr="001F013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8"/>
          <w:szCs w:val="28"/>
        </w:rPr>
      </w:pPr>
      <w:r w:rsidRPr="001F0139">
        <w:rPr>
          <w:rFonts w:ascii="Times New Roman" w:eastAsia="Times New Roman" w:hAnsi="Times New Roman" w:cs="Times New Roman"/>
          <w:sz w:val="28"/>
          <w:szCs w:val="28"/>
        </w:rPr>
        <w:t>Большое внимание в районе уделяется вопросам выполнения Указа Президента РФ от 07.05.2012 N 601 «Об основных направлениях совершенствования системы государственного управления». В целях совершенствования системы оказания государственных и муниципальных услуг населению сформирован реестр муниципальных услуг, предоставляемых на территории района. Данный реестр включает в себя 27 видов услуг, в том числе 4 услуги, оказываемые в электронной форме.</w:t>
      </w:r>
    </w:p>
    <w:p w:rsidR="00F51B81" w:rsidRPr="001F013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8"/>
          <w:szCs w:val="28"/>
        </w:rPr>
      </w:pPr>
      <w:r w:rsidRPr="001F0139">
        <w:rPr>
          <w:rFonts w:ascii="Times New Roman" w:eastAsia="Times New Roman" w:hAnsi="Times New Roman" w:cs="Times New Roman"/>
          <w:sz w:val="28"/>
          <w:szCs w:val="28"/>
        </w:rPr>
        <w:t xml:space="preserve">С конца 2011 года на территории района работает многофункциональный центр предоставления государственных и муниципальных услуг. По итогам 2016 года на базе центра организовано </w:t>
      </w:r>
      <w:r w:rsidRPr="001F0139">
        <w:rPr>
          <w:rFonts w:ascii="Times New Roman" w:eastAsia="Times New Roman" w:hAnsi="Times New Roman" w:cs="Times New Roman"/>
          <w:sz w:val="28"/>
          <w:szCs w:val="28"/>
        </w:rPr>
        <w:lastRenderedPageBreak/>
        <w:t>предоставление 185 услуг, федеральных, региональных и муниципальных органов власти.</w:t>
      </w:r>
    </w:p>
    <w:p w:rsidR="00F51B81" w:rsidRPr="001F013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8"/>
          <w:szCs w:val="28"/>
        </w:rPr>
      </w:pPr>
      <w:r w:rsidRPr="001F0139">
        <w:rPr>
          <w:rFonts w:ascii="Times New Roman" w:eastAsia="Times New Roman" w:hAnsi="Times New Roman" w:cs="Times New Roman"/>
          <w:sz w:val="28"/>
          <w:szCs w:val="28"/>
        </w:rPr>
        <w:t>В 2013 году были открыты и оборудованы два стационарных удаленных, и три выездных пункта приема в населенных пунктах района. Это позволило достичь показателя – 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услуг до 100 процентов.</w:t>
      </w:r>
    </w:p>
    <w:p w:rsidR="00F51B81" w:rsidRPr="001F013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8"/>
          <w:szCs w:val="28"/>
        </w:rPr>
      </w:pPr>
      <w:r w:rsidRPr="001F0139">
        <w:rPr>
          <w:rFonts w:ascii="Times New Roman" w:eastAsia="Times New Roman" w:hAnsi="Times New Roman" w:cs="Times New Roman"/>
          <w:sz w:val="28"/>
          <w:szCs w:val="28"/>
        </w:rPr>
        <w:t>В целях оценки гражданами качества и доступности предоставления государственных (муниципальных) услуг многофункциональный центр подключен к Информационно–аналитической системе мониторинга качества (ИАС МКГУ «Вашконтроль.ру»). По данным мониторинга уровень удовлетворенности граждан качеством предоставления государственных и муниципальных за 2016 года составляет 100%.</w:t>
      </w:r>
    </w:p>
    <w:p w:rsidR="00F51B81" w:rsidRPr="001F013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8"/>
          <w:szCs w:val="28"/>
        </w:rPr>
      </w:pPr>
      <w:r w:rsidRPr="001F0139">
        <w:rPr>
          <w:rFonts w:ascii="Times New Roman" w:eastAsia="Times New Roman" w:hAnsi="Times New Roman" w:cs="Times New Roman"/>
          <w:sz w:val="28"/>
          <w:szCs w:val="28"/>
        </w:rPr>
        <w:t>Дополнительно мотивировать сельчан к совместному выполнению работ по решению вопросов местного значения призван областной проект поддержки местных инициатив граждан, благодаря которому все сельские поселения района смогут улучшить уровень благоустройства. Участие в нем — отличная возможность для населения решать именно те проблемы, которые являются наиболее важными для их территорий.</w:t>
      </w:r>
    </w:p>
    <w:p w:rsidR="00F51B81" w:rsidRPr="001F013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8"/>
          <w:szCs w:val="28"/>
        </w:rPr>
      </w:pPr>
      <w:r w:rsidRPr="001F0139">
        <w:rPr>
          <w:rFonts w:ascii="Times New Roman" w:eastAsia="Times New Roman" w:hAnsi="Times New Roman" w:cs="Times New Roman"/>
          <w:sz w:val="28"/>
          <w:szCs w:val="28"/>
        </w:rPr>
        <w:t>Проект поддержки местных инициатив осуществляется за счет областного бюджета через предоставление субсидии на реализацию конкретного проекта муниципалитета на условиях софинансирования из местного бюджета, средств населения и организаций. На сегодня все шесть сельских поселений района подали заявки на участие в конкурсном отборе программы по поддержке и реализации местных инициатив. Это проекты, инициированные гражданами, по самым различным направлениям.</w:t>
      </w:r>
    </w:p>
    <w:p w:rsidR="00F51B81" w:rsidRPr="001F013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8"/>
          <w:szCs w:val="28"/>
        </w:rPr>
      </w:pPr>
      <w:r w:rsidRPr="001F0139">
        <w:rPr>
          <w:rFonts w:ascii="Times New Roman" w:eastAsia="Times New Roman" w:hAnsi="Times New Roman" w:cs="Times New Roman"/>
          <w:sz w:val="28"/>
          <w:szCs w:val="28"/>
        </w:rPr>
        <w:t xml:space="preserve">Государственная программа Самарской области «Поддержка инициатив населения муниципальных образований» на 2017-2025 годы разработана правительством Самарской области, ее цель — вовлечение </w:t>
      </w:r>
      <w:r w:rsidRPr="001F0139">
        <w:rPr>
          <w:rFonts w:ascii="Times New Roman" w:eastAsia="Times New Roman" w:hAnsi="Times New Roman" w:cs="Times New Roman"/>
          <w:sz w:val="28"/>
          <w:szCs w:val="28"/>
        </w:rPr>
        <w:lastRenderedPageBreak/>
        <w:t>жителей муниципальных образований в развитие их территорий, увеличение средств муниципалитетов, расходуемых на решение проблем, которые волнуют граждан. Поддержка общественных проектов из регионального бюджета будет осуществляться на конкурсной основе. Минимальная доля самофинансирования за счет средств граждан и организаций — 7%. Также обязательно софинансирование за счет средств местного бюджета. Оно станет одним из критериев отбора. Инициировать проекты могут общественные советы, органы самоуправления, непосредственно сами граждане.</w:t>
      </w:r>
    </w:p>
    <w:p w:rsidR="00F51B81" w:rsidRPr="001F013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8"/>
          <w:szCs w:val="28"/>
        </w:rPr>
      </w:pPr>
      <w:r w:rsidRPr="001F0139">
        <w:rPr>
          <w:rFonts w:ascii="Times New Roman" w:eastAsia="Times New Roman" w:hAnsi="Times New Roman" w:cs="Times New Roman"/>
          <w:sz w:val="28"/>
          <w:szCs w:val="28"/>
        </w:rPr>
        <w:t>В Камышлинском районе на сайте Органов местного самоуправления сельского поселения Камышла действует интернет-приемная для принятия и обработки обращений граждан (Режим доступа: http://kamyshla.ru/sv_rezultati_raboti.php?blok=priemnaya&amp;razdel=rezultati_raboti&amp;cs=6). В 2016 г. Камышлинский район демонстрировал уровень удовлетворенности населения деятельностью органов местного самоуправления, равный 76%, при среднем значении по муниципальным районам (77,5%).</w:t>
      </w:r>
    </w:p>
    <w:p w:rsidR="00F51B81" w:rsidRPr="001F0139" w:rsidRDefault="00F51B81"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CB5772" w:rsidRPr="001F0139" w:rsidRDefault="00CB5772"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8.2.Стратегические цели, задачи и проектно-программный комплекс</w:t>
      </w:r>
      <w:r w:rsidR="002760F1">
        <w:rPr>
          <w:rFonts w:ascii="Times New Roman" w:hAnsi="Times New Roman" w:cs="Times New Roman"/>
          <w:b/>
          <w:color w:val="365F91" w:themeColor="accent1" w:themeShade="BF"/>
          <w:sz w:val="28"/>
          <w:szCs w:val="28"/>
        </w:rPr>
        <w:t xml:space="preserve"> </w:t>
      </w:r>
      <w:r w:rsidRPr="001F0139">
        <w:rPr>
          <w:rFonts w:ascii="Times New Roman" w:hAnsi="Times New Roman" w:cs="Times New Roman"/>
          <w:b/>
          <w:color w:val="365F91" w:themeColor="accent1" w:themeShade="BF"/>
          <w:sz w:val="28"/>
          <w:szCs w:val="28"/>
        </w:rPr>
        <w:t>направления «Формирование, совершенствование и накопление человеческого капитала».</w:t>
      </w:r>
    </w:p>
    <w:p w:rsidR="00F23598" w:rsidRPr="001F0139" w:rsidRDefault="00337AC4"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 xml:space="preserve">8.2.1.Развитие и модернизация производства сельскохозяйственной продукции </w:t>
      </w:r>
    </w:p>
    <w:p w:rsidR="00077D58" w:rsidRPr="00D3682B" w:rsidRDefault="00443650" w:rsidP="001F0139">
      <w:pPr>
        <w:pStyle w:val="a3"/>
        <w:spacing w:after="0" w:line="360" w:lineRule="auto"/>
        <w:ind w:left="0" w:firstLine="709"/>
        <w:jc w:val="both"/>
        <w:rPr>
          <w:rFonts w:ascii="Times New Roman" w:hAnsi="Times New Roman" w:cs="Times New Roman"/>
          <w:b/>
          <w:sz w:val="28"/>
          <w:szCs w:val="28"/>
        </w:rPr>
      </w:pPr>
      <w:r w:rsidRPr="00D3682B">
        <w:rPr>
          <w:rFonts w:ascii="Times New Roman" w:hAnsi="Times New Roman" w:cs="Times New Roman"/>
          <w:b/>
          <w:sz w:val="28"/>
          <w:szCs w:val="28"/>
        </w:rPr>
        <w:t>Мероприятия</w:t>
      </w:r>
    </w:p>
    <w:p w:rsidR="00443650" w:rsidRPr="001F0139" w:rsidRDefault="00443650"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Строительство свинокомплексов в селе Никиткино на 3000 голов и в селе Степановка на 1000 голов.</w:t>
      </w:r>
    </w:p>
    <w:p w:rsidR="00443650" w:rsidRPr="001F0139" w:rsidRDefault="00443650"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 xml:space="preserve">Строительство ферм КРС в населенных пунктах муниципального района Камышлинский Самарской области: </w:t>
      </w:r>
    </w:p>
    <w:p w:rsidR="00443650" w:rsidRPr="001F0139" w:rsidRDefault="00443650"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с. Старое Усманово на 1000 голов;</w:t>
      </w:r>
    </w:p>
    <w:p w:rsidR="00443650" w:rsidRPr="001F0139" w:rsidRDefault="00443650"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с. Новое Усманово на 2000 голов;</w:t>
      </w:r>
    </w:p>
    <w:p w:rsidR="00443650" w:rsidRPr="001F0139" w:rsidRDefault="00443650"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lastRenderedPageBreak/>
        <w:t>с. Татарский Байтуган на 1000 голов;</w:t>
      </w:r>
    </w:p>
    <w:p w:rsidR="00443650" w:rsidRPr="001F0139" w:rsidRDefault="00443650"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с. Камышла на 600 голов;</w:t>
      </w:r>
    </w:p>
    <w:p w:rsidR="00443650" w:rsidRPr="001F0139" w:rsidRDefault="00443650"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п. Чулпан на 600 голов;</w:t>
      </w:r>
    </w:p>
    <w:p w:rsidR="00443650" w:rsidRPr="001F0139" w:rsidRDefault="00443650"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п. Юлдуз на 500 голов.</w:t>
      </w:r>
    </w:p>
    <w:p w:rsidR="00443650" w:rsidRPr="001F0139" w:rsidRDefault="00443650"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 xml:space="preserve">Реконструкция ферм КРС в населенных пунктах муниципального района Камышлинский Самарской области: </w:t>
      </w:r>
    </w:p>
    <w:p w:rsidR="00443650" w:rsidRPr="001F0139" w:rsidRDefault="00443650"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с. Старое Ермаково на 800 голов;</w:t>
      </w:r>
    </w:p>
    <w:p w:rsidR="00443650" w:rsidRPr="001F0139" w:rsidRDefault="00443650"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с. Старая Балыкла на 600 голов.</w:t>
      </w:r>
    </w:p>
    <w:p w:rsidR="00443650" w:rsidRPr="001F0139" w:rsidRDefault="00443650"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 xml:space="preserve">. Строительство овцеводческих ферм в </w:t>
      </w:r>
      <w:r w:rsidR="0097127D">
        <w:rPr>
          <w:rFonts w:ascii="Times New Roman" w:hAnsi="Times New Roman" w:cs="Times New Roman"/>
          <w:sz w:val="28"/>
          <w:szCs w:val="28"/>
        </w:rPr>
        <w:t>с</w:t>
      </w:r>
      <w:r w:rsidRPr="001F0139">
        <w:rPr>
          <w:rFonts w:ascii="Times New Roman" w:hAnsi="Times New Roman" w:cs="Times New Roman"/>
          <w:sz w:val="28"/>
          <w:szCs w:val="28"/>
        </w:rPr>
        <w:t>. Неклюдово на 5000 голов и п. Юлдуз на 600 голов.</w:t>
      </w:r>
    </w:p>
    <w:p w:rsidR="00443650" w:rsidRPr="001F0139" w:rsidRDefault="00443650"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Строительство птицефермы в п. Юлдуз на 1500 птиц.</w:t>
      </w:r>
    </w:p>
    <w:p w:rsidR="00443650" w:rsidRPr="001F0139" w:rsidRDefault="00443650"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Реконструкция птицефермы в с. Новое Ермаково на 1500 птиц.</w:t>
      </w:r>
    </w:p>
    <w:p w:rsidR="00443650" w:rsidRPr="001F0139" w:rsidRDefault="00443650"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sz w:val="28"/>
          <w:szCs w:val="28"/>
        </w:rPr>
        <w:t>Строительство конезавода в п. Юлдуз.</w:t>
      </w:r>
    </w:p>
    <w:p w:rsidR="00077D58" w:rsidRPr="001F0139" w:rsidRDefault="00077D58" w:rsidP="001F0139">
      <w:pPr>
        <w:pStyle w:val="a3"/>
        <w:spacing w:after="0" w:line="360" w:lineRule="auto"/>
        <w:ind w:left="0" w:firstLine="709"/>
        <w:jc w:val="both"/>
        <w:rPr>
          <w:rFonts w:ascii="Times New Roman" w:hAnsi="Times New Roman" w:cs="Times New Roman"/>
          <w:b/>
          <w:sz w:val="28"/>
          <w:szCs w:val="28"/>
        </w:rPr>
      </w:pPr>
      <w:r w:rsidRPr="001F0139">
        <w:rPr>
          <w:rFonts w:ascii="Times New Roman" w:hAnsi="Times New Roman" w:cs="Times New Roman"/>
          <w:b/>
          <w:sz w:val="28"/>
          <w:szCs w:val="28"/>
        </w:rPr>
        <w:t>Проекты и программы</w:t>
      </w:r>
    </w:p>
    <w:p w:rsidR="00077D58" w:rsidRPr="001F0139" w:rsidRDefault="00077D58"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bCs/>
          <w:sz w:val="28"/>
          <w:szCs w:val="28"/>
          <w:u w:val="single"/>
        </w:rPr>
        <w:t xml:space="preserve">Действующая муниципальная программа </w:t>
      </w:r>
      <w:r w:rsidRPr="001F0139">
        <w:rPr>
          <w:rFonts w:ascii="Times New Roman" w:hAnsi="Times New Roman" w:cs="Times New Roman"/>
          <w:sz w:val="28"/>
          <w:szCs w:val="28"/>
        </w:rPr>
        <w:t>«Развитие сельского хозяйства и регулирования рынков с/х продукции, сырья и продовольствия муниципального района Камышлинский на 2013 - 2020 гг.«</w:t>
      </w:r>
    </w:p>
    <w:p w:rsidR="00077D58" w:rsidRPr="001F0139" w:rsidRDefault="00077D58"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bCs/>
          <w:sz w:val="28"/>
          <w:szCs w:val="28"/>
          <w:u w:val="single"/>
        </w:rPr>
        <w:t xml:space="preserve">Действующая муниципальная программа </w:t>
      </w:r>
      <w:r w:rsidRPr="001F0139">
        <w:rPr>
          <w:rFonts w:ascii="Times New Roman" w:hAnsi="Times New Roman" w:cs="Times New Roman"/>
          <w:sz w:val="28"/>
          <w:szCs w:val="28"/>
        </w:rPr>
        <w:t>«Развитие малого и среднего предпринимательства в муниципальном районе Камышлинский Самарской области на 2018-2020 годы»</w:t>
      </w:r>
      <w:r w:rsidRPr="001F0139">
        <w:rPr>
          <w:rFonts w:ascii="Times New Roman" w:hAnsi="Times New Roman" w:cs="Times New Roman"/>
          <w:bCs/>
          <w:sz w:val="28"/>
          <w:szCs w:val="28"/>
          <w:u w:val="single"/>
        </w:rPr>
        <w:t xml:space="preserve"> </w:t>
      </w:r>
    </w:p>
    <w:p w:rsidR="00077D58" w:rsidRPr="001F0139" w:rsidRDefault="00077D58"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bCs/>
          <w:sz w:val="28"/>
          <w:szCs w:val="28"/>
          <w:u w:val="single"/>
        </w:rPr>
        <w:t>Проект</w:t>
      </w:r>
      <w:r w:rsidRPr="001F0139">
        <w:rPr>
          <w:rFonts w:ascii="Times New Roman" w:hAnsi="Times New Roman" w:cs="Times New Roman"/>
          <w:sz w:val="28"/>
          <w:szCs w:val="28"/>
        </w:rPr>
        <w:t xml:space="preserve"> «Мясомолочный комплекс». </w:t>
      </w:r>
    </w:p>
    <w:p w:rsidR="00077D58" w:rsidRPr="001F0139" w:rsidRDefault="00077D58" w:rsidP="001F0139">
      <w:pPr>
        <w:pStyle w:val="a3"/>
        <w:numPr>
          <w:ilvl w:val="0"/>
          <w:numId w:val="22"/>
        </w:numPr>
        <w:spacing w:after="0" w:line="360" w:lineRule="auto"/>
        <w:ind w:left="0"/>
        <w:rPr>
          <w:rFonts w:ascii="Times New Roman" w:hAnsi="Times New Roman" w:cs="Times New Roman"/>
          <w:sz w:val="28"/>
          <w:szCs w:val="28"/>
        </w:rPr>
      </w:pPr>
      <w:r w:rsidRPr="001F0139">
        <w:rPr>
          <w:rFonts w:ascii="Times New Roman" w:hAnsi="Times New Roman" w:cs="Times New Roman"/>
          <w:bCs/>
          <w:sz w:val="28"/>
          <w:szCs w:val="28"/>
          <w:u w:val="single"/>
        </w:rPr>
        <w:t xml:space="preserve">Проект </w:t>
      </w:r>
      <w:r w:rsidRPr="001F0139">
        <w:rPr>
          <w:rFonts w:ascii="Times New Roman" w:hAnsi="Times New Roman" w:cs="Times New Roman"/>
          <w:sz w:val="28"/>
          <w:szCs w:val="28"/>
        </w:rPr>
        <w:t>«Развитие тепличного овощеводства»</w:t>
      </w:r>
    </w:p>
    <w:p w:rsidR="00077D58" w:rsidRPr="001F0139" w:rsidRDefault="00077D5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337AC4" w:rsidRPr="001F0139" w:rsidRDefault="00337AC4"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8.2.2. Развитие перерабатывающих производств</w:t>
      </w:r>
    </w:p>
    <w:p w:rsidR="00337AC4" w:rsidRPr="001F0139" w:rsidRDefault="00337AC4" w:rsidP="001F0139">
      <w:pPr>
        <w:pStyle w:val="a3"/>
        <w:spacing w:after="0" w:line="360" w:lineRule="auto"/>
        <w:ind w:left="0" w:firstLine="709"/>
        <w:jc w:val="both"/>
        <w:rPr>
          <w:rFonts w:ascii="Times New Roman" w:hAnsi="Times New Roman" w:cs="Times New Roman"/>
          <w:sz w:val="28"/>
          <w:szCs w:val="28"/>
        </w:rPr>
      </w:pPr>
      <w:r w:rsidRPr="001F0139">
        <w:rPr>
          <w:rFonts w:ascii="Times New Roman" w:hAnsi="Times New Roman" w:cs="Times New Roman"/>
          <w:sz w:val="28"/>
          <w:szCs w:val="28"/>
        </w:rPr>
        <w:t>Проекты и программы</w:t>
      </w:r>
    </w:p>
    <w:p w:rsidR="00077D58" w:rsidRPr="001F0139" w:rsidRDefault="00077D58" w:rsidP="001F0139">
      <w:pPr>
        <w:pStyle w:val="a3"/>
        <w:numPr>
          <w:ilvl w:val="0"/>
          <w:numId w:val="21"/>
        </w:numPr>
        <w:spacing w:after="0" w:line="360" w:lineRule="auto"/>
        <w:ind w:left="0"/>
        <w:rPr>
          <w:rFonts w:ascii="Times New Roman" w:hAnsi="Times New Roman" w:cs="Times New Roman"/>
          <w:sz w:val="28"/>
          <w:szCs w:val="28"/>
        </w:rPr>
      </w:pPr>
      <w:r w:rsidRPr="001F0139">
        <w:rPr>
          <w:rFonts w:ascii="Times New Roman" w:hAnsi="Times New Roman" w:cs="Times New Roman"/>
          <w:bCs/>
          <w:sz w:val="28"/>
          <w:szCs w:val="28"/>
          <w:u w:val="single"/>
        </w:rPr>
        <w:t xml:space="preserve">Действующая муниципальная программа </w:t>
      </w:r>
      <w:r w:rsidRPr="001F0139">
        <w:rPr>
          <w:rFonts w:ascii="Times New Roman" w:hAnsi="Times New Roman" w:cs="Times New Roman"/>
          <w:sz w:val="28"/>
          <w:szCs w:val="28"/>
        </w:rPr>
        <w:t>«Развитие малого и среднего предпринимательства в муниципальном районе Камышлинский Самарской области на 2018-2020 годы»</w:t>
      </w:r>
      <w:r w:rsidRPr="001F0139">
        <w:rPr>
          <w:rFonts w:ascii="Times New Roman" w:hAnsi="Times New Roman" w:cs="Times New Roman"/>
          <w:bCs/>
          <w:sz w:val="28"/>
          <w:szCs w:val="28"/>
          <w:u w:val="single"/>
        </w:rPr>
        <w:t xml:space="preserve"> </w:t>
      </w:r>
    </w:p>
    <w:p w:rsidR="00077D58" w:rsidRPr="001F0139" w:rsidRDefault="00077D58" w:rsidP="001F0139">
      <w:pPr>
        <w:pStyle w:val="a3"/>
        <w:numPr>
          <w:ilvl w:val="0"/>
          <w:numId w:val="21"/>
        </w:numPr>
        <w:spacing w:after="0" w:line="360" w:lineRule="auto"/>
        <w:ind w:left="0"/>
        <w:rPr>
          <w:rFonts w:ascii="Times New Roman" w:hAnsi="Times New Roman" w:cs="Times New Roman"/>
          <w:sz w:val="28"/>
          <w:szCs w:val="28"/>
        </w:rPr>
      </w:pPr>
      <w:r w:rsidRPr="001F0139">
        <w:rPr>
          <w:rFonts w:ascii="Times New Roman" w:hAnsi="Times New Roman" w:cs="Times New Roman"/>
          <w:bCs/>
          <w:sz w:val="28"/>
          <w:szCs w:val="28"/>
          <w:u w:val="single"/>
        </w:rPr>
        <w:t>Проект</w:t>
      </w:r>
      <w:r w:rsidRPr="001F0139">
        <w:rPr>
          <w:rFonts w:ascii="Times New Roman" w:hAnsi="Times New Roman" w:cs="Times New Roman"/>
          <w:sz w:val="28"/>
          <w:szCs w:val="28"/>
        </w:rPr>
        <w:t xml:space="preserve"> «Гипсовый завод». </w:t>
      </w:r>
    </w:p>
    <w:p w:rsidR="00077D58" w:rsidRPr="001F0139" w:rsidRDefault="00077D58" w:rsidP="001F0139">
      <w:pPr>
        <w:pStyle w:val="a3"/>
        <w:numPr>
          <w:ilvl w:val="0"/>
          <w:numId w:val="21"/>
        </w:numPr>
        <w:spacing w:after="0" w:line="360" w:lineRule="auto"/>
        <w:ind w:left="0"/>
        <w:rPr>
          <w:rFonts w:ascii="Times New Roman" w:hAnsi="Times New Roman" w:cs="Times New Roman"/>
          <w:sz w:val="28"/>
          <w:szCs w:val="28"/>
        </w:rPr>
      </w:pPr>
      <w:r w:rsidRPr="001F0139">
        <w:rPr>
          <w:rFonts w:ascii="Times New Roman" w:hAnsi="Times New Roman" w:cs="Times New Roman"/>
          <w:bCs/>
          <w:sz w:val="28"/>
          <w:szCs w:val="28"/>
          <w:u w:val="single"/>
        </w:rPr>
        <w:t xml:space="preserve">Проект </w:t>
      </w:r>
      <w:r w:rsidRPr="001F0139">
        <w:rPr>
          <w:rFonts w:ascii="Times New Roman" w:hAnsi="Times New Roman" w:cs="Times New Roman"/>
          <w:sz w:val="28"/>
          <w:szCs w:val="28"/>
        </w:rPr>
        <w:t>«Цех по переработке молока»</w:t>
      </w:r>
    </w:p>
    <w:p w:rsidR="00077D58" w:rsidRPr="001F0139" w:rsidRDefault="00077D58" w:rsidP="001F0139">
      <w:pPr>
        <w:pStyle w:val="a3"/>
        <w:numPr>
          <w:ilvl w:val="0"/>
          <w:numId w:val="21"/>
        </w:numPr>
        <w:spacing w:after="0" w:line="360" w:lineRule="auto"/>
        <w:ind w:left="0"/>
        <w:rPr>
          <w:rFonts w:ascii="Times New Roman" w:hAnsi="Times New Roman" w:cs="Times New Roman"/>
          <w:sz w:val="28"/>
          <w:szCs w:val="28"/>
        </w:rPr>
      </w:pPr>
      <w:r w:rsidRPr="001F0139">
        <w:rPr>
          <w:rFonts w:ascii="Times New Roman" w:hAnsi="Times New Roman" w:cs="Times New Roman"/>
          <w:bCs/>
          <w:sz w:val="28"/>
          <w:szCs w:val="28"/>
          <w:u w:val="single"/>
        </w:rPr>
        <w:lastRenderedPageBreak/>
        <w:t>Проект</w:t>
      </w:r>
      <w:r w:rsidRPr="001F0139">
        <w:rPr>
          <w:rFonts w:ascii="Times New Roman" w:hAnsi="Times New Roman" w:cs="Times New Roman"/>
          <w:sz w:val="28"/>
          <w:szCs w:val="28"/>
          <w:u w:val="single"/>
        </w:rPr>
        <w:t xml:space="preserve"> </w:t>
      </w:r>
      <w:r w:rsidRPr="001F0139">
        <w:rPr>
          <w:rFonts w:ascii="Times New Roman" w:hAnsi="Times New Roman" w:cs="Times New Roman"/>
          <w:sz w:val="28"/>
          <w:szCs w:val="28"/>
        </w:rPr>
        <w:t>«Создание перерабатывающих кооперативов»</w:t>
      </w:r>
    </w:p>
    <w:p w:rsidR="00337AC4" w:rsidRPr="001F0139" w:rsidRDefault="00337AC4"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CB5772" w:rsidRPr="001F0139" w:rsidRDefault="00337AC4"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8.2.3. Развитие сферы услуг</w:t>
      </w:r>
    </w:p>
    <w:p w:rsidR="00337AC4" w:rsidRPr="001F0139" w:rsidRDefault="00337AC4" w:rsidP="001F0139">
      <w:pPr>
        <w:pStyle w:val="a3"/>
        <w:spacing w:after="0" w:line="360" w:lineRule="auto"/>
        <w:ind w:left="0" w:firstLine="709"/>
        <w:jc w:val="both"/>
        <w:rPr>
          <w:rFonts w:ascii="Times New Roman" w:hAnsi="Times New Roman" w:cs="Times New Roman"/>
          <w:sz w:val="28"/>
          <w:szCs w:val="28"/>
        </w:rPr>
      </w:pPr>
      <w:r w:rsidRPr="001F0139">
        <w:rPr>
          <w:rFonts w:ascii="Times New Roman" w:hAnsi="Times New Roman" w:cs="Times New Roman"/>
          <w:sz w:val="28"/>
          <w:szCs w:val="28"/>
        </w:rPr>
        <w:t>Проекты и программы</w:t>
      </w:r>
    </w:p>
    <w:p w:rsidR="00077D58" w:rsidRPr="001F0139" w:rsidRDefault="00077D58" w:rsidP="001F0139">
      <w:pPr>
        <w:pStyle w:val="a3"/>
        <w:numPr>
          <w:ilvl w:val="6"/>
          <w:numId w:val="20"/>
        </w:numPr>
        <w:tabs>
          <w:tab w:val="clear" w:pos="5040"/>
          <w:tab w:val="num" w:pos="567"/>
        </w:tabs>
        <w:spacing w:after="0" w:line="360" w:lineRule="auto"/>
        <w:ind w:left="0" w:firstLine="0"/>
        <w:rPr>
          <w:rFonts w:ascii="Times New Roman" w:hAnsi="Times New Roman" w:cs="Times New Roman"/>
          <w:sz w:val="28"/>
          <w:szCs w:val="28"/>
        </w:rPr>
      </w:pPr>
      <w:r w:rsidRPr="001F0139">
        <w:rPr>
          <w:rFonts w:ascii="Times New Roman" w:hAnsi="Times New Roman" w:cs="Times New Roman"/>
          <w:bCs/>
          <w:sz w:val="28"/>
          <w:szCs w:val="28"/>
          <w:u w:val="single"/>
        </w:rPr>
        <w:t xml:space="preserve">Действующая </w:t>
      </w:r>
      <w:r w:rsidRPr="001F0139">
        <w:rPr>
          <w:rFonts w:ascii="Times New Roman" w:hAnsi="Times New Roman" w:cs="Times New Roman"/>
          <w:sz w:val="28"/>
          <w:szCs w:val="28"/>
        </w:rPr>
        <w:t>м</w:t>
      </w:r>
      <w:r w:rsidRPr="001F0139">
        <w:rPr>
          <w:rFonts w:ascii="Times New Roman" w:hAnsi="Times New Roman" w:cs="Times New Roman"/>
          <w:bCs/>
          <w:sz w:val="28"/>
          <w:szCs w:val="28"/>
          <w:u w:val="single"/>
        </w:rPr>
        <w:t xml:space="preserve">униципальная программа </w:t>
      </w:r>
      <w:r w:rsidRPr="001F0139">
        <w:rPr>
          <w:rFonts w:ascii="Times New Roman" w:hAnsi="Times New Roman" w:cs="Times New Roman"/>
          <w:sz w:val="28"/>
          <w:szCs w:val="28"/>
        </w:rPr>
        <w:t>«Развитие малого и среднего предпринимательства в муниципальном районе Камышлинский Самарской области на 2018-2020 годы»</w:t>
      </w:r>
      <w:r w:rsidRPr="001F0139">
        <w:rPr>
          <w:rFonts w:ascii="Times New Roman" w:hAnsi="Times New Roman" w:cs="Times New Roman"/>
          <w:bCs/>
          <w:sz w:val="28"/>
          <w:szCs w:val="28"/>
          <w:u w:val="single"/>
        </w:rPr>
        <w:t xml:space="preserve"> </w:t>
      </w:r>
    </w:p>
    <w:p w:rsidR="00077D58" w:rsidRPr="001F0139" w:rsidRDefault="00077D58" w:rsidP="001F0139">
      <w:pPr>
        <w:pStyle w:val="a3"/>
        <w:numPr>
          <w:ilvl w:val="6"/>
          <w:numId w:val="20"/>
        </w:numPr>
        <w:tabs>
          <w:tab w:val="clear" w:pos="5040"/>
          <w:tab w:val="num" w:pos="567"/>
        </w:tabs>
        <w:spacing w:after="0" w:line="360" w:lineRule="auto"/>
        <w:ind w:left="0" w:firstLine="0"/>
        <w:rPr>
          <w:rFonts w:ascii="Times New Roman" w:hAnsi="Times New Roman" w:cs="Times New Roman"/>
          <w:sz w:val="28"/>
          <w:szCs w:val="28"/>
        </w:rPr>
      </w:pPr>
      <w:r w:rsidRPr="001F0139">
        <w:rPr>
          <w:rFonts w:ascii="Times New Roman" w:hAnsi="Times New Roman" w:cs="Times New Roman"/>
          <w:bCs/>
          <w:sz w:val="28"/>
          <w:szCs w:val="28"/>
          <w:u w:val="single"/>
        </w:rPr>
        <w:t>Проект</w:t>
      </w:r>
      <w:r w:rsidRPr="001F0139">
        <w:rPr>
          <w:rFonts w:ascii="Times New Roman" w:hAnsi="Times New Roman" w:cs="Times New Roman"/>
          <w:sz w:val="28"/>
          <w:szCs w:val="28"/>
        </w:rPr>
        <w:t xml:space="preserve"> «Развитие инфраструктуры туризма» (2018-2025)</w:t>
      </w:r>
    </w:p>
    <w:p w:rsidR="00077D58" w:rsidRPr="001F0139" w:rsidRDefault="00077D58" w:rsidP="001F0139">
      <w:pPr>
        <w:pStyle w:val="a3"/>
        <w:numPr>
          <w:ilvl w:val="6"/>
          <w:numId w:val="20"/>
        </w:numPr>
        <w:tabs>
          <w:tab w:val="clear" w:pos="5040"/>
          <w:tab w:val="num" w:pos="567"/>
        </w:tabs>
        <w:spacing w:after="0" w:line="360" w:lineRule="auto"/>
        <w:ind w:left="0" w:firstLine="0"/>
        <w:rPr>
          <w:rFonts w:ascii="Times New Roman" w:hAnsi="Times New Roman" w:cs="Times New Roman"/>
          <w:sz w:val="28"/>
          <w:szCs w:val="28"/>
        </w:rPr>
      </w:pPr>
      <w:r w:rsidRPr="001F0139">
        <w:rPr>
          <w:rFonts w:ascii="Times New Roman" w:hAnsi="Times New Roman" w:cs="Times New Roman"/>
          <w:bCs/>
          <w:sz w:val="28"/>
          <w:szCs w:val="28"/>
          <w:u w:val="single"/>
        </w:rPr>
        <w:t>Проект</w:t>
      </w:r>
      <w:r w:rsidRPr="001F0139">
        <w:rPr>
          <w:rFonts w:ascii="Times New Roman" w:hAnsi="Times New Roman" w:cs="Times New Roman"/>
          <w:sz w:val="28"/>
          <w:szCs w:val="28"/>
        </w:rPr>
        <w:t xml:space="preserve"> «Развитие придорожных услуг и торговли» (2018-2020)</w:t>
      </w:r>
    </w:p>
    <w:p w:rsidR="00337AC4" w:rsidRPr="001F0139" w:rsidRDefault="00337AC4" w:rsidP="001F0139">
      <w:pPr>
        <w:pStyle w:val="a3"/>
        <w:tabs>
          <w:tab w:val="num" w:pos="567"/>
        </w:tabs>
        <w:spacing w:after="0" w:line="360" w:lineRule="auto"/>
        <w:ind w:left="0"/>
        <w:jc w:val="both"/>
        <w:rPr>
          <w:rFonts w:ascii="Times New Roman" w:hAnsi="Times New Roman" w:cs="Times New Roman"/>
          <w:sz w:val="28"/>
          <w:szCs w:val="28"/>
        </w:rPr>
      </w:pPr>
      <w:r w:rsidRPr="001F0139">
        <w:rPr>
          <w:rFonts w:ascii="Times New Roman" w:hAnsi="Times New Roman" w:cs="Times New Roman"/>
          <w:bCs/>
          <w:sz w:val="28"/>
          <w:szCs w:val="28"/>
          <w:u w:val="single"/>
        </w:rPr>
        <w:t xml:space="preserve">Проект </w:t>
      </w:r>
      <w:r w:rsidRPr="001F0139">
        <w:rPr>
          <w:rFonts w:ascii="Times New Roman" w:hAnsi="Times New Roman" w:cs="Times New Roman"/>
          <w:sz w:val="28"/>
          <w:szCs w:val="28"/>
        </w:rPr>
        <w:t>«Создание инвест-портала Камышлинского района» (2018-2019</w:t>
      </w:r>
    </w:p>
    <w:p w:rsidR="00337AC4" w:rsidRPr="001F0139" w:rsidRDefault="00337AC4"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F51B81" w:rsidRPr="001F0139" w:rsidRDefault="00F51B81"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Ожидаемые результаты</w:t>
      </w:r>
    </w:p>
    <w:tbl>
      <w:tblPr>
        <w:tblW w:w="9215" w:type="dxa"/>
        <w:tblLayout w:type="fixed"/>
        <w:tblLook w:val="0000" w:firstRow="0" w:lastRow="0" w:firstColumn="0" w:lastColumn="0" w:noHBand="0" w:noVBand="0"/>
      </w:tblPr>
      <w:tblGrid>
        <w:gridCol w:w="3369"/>
        <w:gridCol w:w="885"/>
        <w:gridCol w:w="816"/>
        <w:gridCol w:w="1168"/>
        <w:gridCol w:w="992"/>
        <w:gridCol w:w="993"/>
        <w:gridCol w:w="992"/>
      </w:tblGrid>
      <w:tr w:rsidR="00F51B81" w:rsidRPr="001F0139" w:rsidTr="00D3682B">
        <w:trPr>
          <w:trHeight w:val="164"/>
        </w:trPr>
        <w:tc>
          <w:tcPr>
            <w:tcW w:w="3369" w:type="dxa"/>
            <w:tcBorders>
              <w:top w:val="single" w:sz="4" w:space="0" w:color="000000"/>
              <w:left w:val="single" w:sz="4" w:space="0" w:color="000000"/>
              <w:bottom w:val="single" w:sz="4" w:space="0" w:color="000000"/>
              <w:right w:val="single" w:sz="4" w:space="0" w:color="000000"/>
            </w:tcBorders>
            <w:shd w:val="clear" w:color="auto" w:fill="FF0000"/>
          </w:tcPr>
          <w:p w:rsidR="00F51B81" w:rsidRPr="001F0139" w:rsidRDefault="00F51B81" w:rsidP="001F0139">
            <w:pPr>
              <w:spacing w:after="0"/>
              <w:jc w:val="both"/>
              <w:rPr>
                <w:rFonts w:ascii="Times New Roman" w:eastAsia="Calibri" w:hAnsi="Times New Roman" w:cs="Times New Roman"/>
                <w:b/>
                <w:color w:val="FFFFFF"/>
                <w:sz w:val="24"/>
                <w:szCs w:val="24"/>
              </w:rPr>
            </w:pPr>
            <w:r w:rsidRPr="001F0139">
              <w:rPr>
                <w:rFonts w:ascii="Times New Roman" w:eastAsia="Calibri" w:hAnsi="Times New Roman" w:cs="Times New Roman"/>
                <w:b/>
                <w:color w:val="FFFFFF"/>
                <w:sz w:val="24"/>
                <w:szCs w:val="24"/>
              </w:rPr>
              <w:t>Показатели</w:t>
            </w:r>
          </w:p>
        </w:tc>
        <w:tc>
          <w:tcPr>
            <w:tcW w:w="885" w:type="dxa"/>
            <w:tcBorders>
              <w:top w:val="single" w:sz="4" w:space="0" w:color="000000"/>
              <w:left w:val="single" w:sz="4" w:space="0" w:color="000000"/>
              <w:bottom w:val="single" w:sz="4" w:space="0" w:color="000000"/>
              <w:right w:val="single" w:sz="4" w:space="0" w:color="auto"/>
            </w:tcBorders>
            <w:shd w:val="clear" w:color="auto" w:fill="FF0000"/>
          </w:tcPr>
          <w:p w:rsidR="00F51B81" w:rsidRPr="001F0139" w:rsidRDefault="00F51B81" w:rsidP="001F0139">
            <w:pPr>
              <w:spacing w:after="0"/>
              <w:jc w:val="both"/>
              <w:rPr>
                <w:rFonts w:ascii="Times New Roman" w:eastAsia="Calibri" w:hAnsi="Times New Roman" w:cs="Times New Roman"/>
                <w:b/>
                <w:color w:val="FFFFFF"/>
                <w:sz w:val="24"/>
                <w:szCs w:val="24"/>
              </w:rPr>
            </w:pPr>
            <w:r w:rsidRPr="001F0139">
              <w:rPr>
                <w:rFonts w:ascii="Times New Roman" w:eastAsia="Calibri" w:hAnsi="Times New Roman" w:cs="Times New Roman"/>
                <w:b/>
                <w:color w:val="FFFFFF"/>
                <w:sz w:val="24"/>
                <w:szCs w:val="24"/>
              </w:rPr>
              <w:t>Един. измер.</w:t>
            </w:r>
          </w:p>
        </w:tc>
        <w:tc>
          <w:tcPr>
            <w:tcW w:w="816" w:type="dxa"/>
            <w:tcBorders>
              <w:top w:val="single" w:sz="4" w:space="0" w:color="000000"/>
              <w:left w:val="single" w:sz="4" w:space="0" w:color="auto"/>
              <w:bottom w:val="single" w:sz="4" w:space="0" w:color="000000"/>
            </w:tcBorders>
            <w:shd w:val="clear" w:color="auto" w:fill="FF0000"/>
          </w:tcPr>
          <w:p w:rsidR="00F51B81" w:rsidRPr="001F0139" w:rsidRDefault="00F51B81" w:rsidP="001F0139">
            <w:pPr>
              <w:spacing w:after="0"/>
              <w:jc w:val="both"/>
              <w:rPr>
                <w:rFonts w:ascii="Times New Roman" w:eastAsia="Calibri" w:hAnsi="Times New Roman" w:cs="Times New Roman"/>
                <w:b/>
                <w:color w:val="FFFFFF"/>
                <w:sz w:val="24"/>
                <w:szCs w:val="24"/>
              </w:rPr>
            </w:pPr>
            <w:r w:rsidRPr="001F0139">
              <w:rPr>
                <w:rFonts w:ascii="Times New Roman" w:eastAsia="Calibri" w:hAnsi="Times New Roman" w:cs="Times New Roman"/>
                <w:b/>
                <w:color w:val="FFFFFF"/>
                <w:sz w:val="24"/>
                <w:szCs w:val="24"/>
              </w:rPr>
              <w:t>2016</w:t>
            </w:r>
          </w:p>
        </w:tc>
        <w:tc>
          <w:tcPr>
            <w:tcW w:w="1168" w:type="dxa"/>
            <w:tcBorders>
              <w:top w:val="single" w:sz="4" w:space="0" w:color="000000"/>
              <w:left w:val="single" w:sz="4" w:space="0" w:color="000000"/>
              <w:bottom w:val="single" w:sz="4" w:space="0" w:color="000000"/>
              <w:right w:val="single" w:sz="4" w:space="0" w:color="000000"/>
            </w:tcBorders>
            <w:shd w:val="clear" w:color="auto" w:fill="FF0000"/>
          </w:tcPr>
          <w:p w:rsidR="00F51B81" w:rsidRPr="001F0139" w:rsidRDefault="00F51B81" w:rsidP="001F0139">
            <w:pPr>
              <w:spacing w:after="0"/>
              <w:jc w:val="both"/>
              <w:rPr>
                <w:rFonts w:ascii="Times New Roman" w:eastAsia="Calibri" w:hAnsi="Times New Roman" w:cs="Times New Roman"/>
                <w:b/>
                <w:color w:val="FFFFFF"/>
                <w:sz w:val="24"/>
                <w:szCs w:val="24"/>
              </w:rPr>
            </w:pPr>
            <w:r w:rsidRPr="001F0139">
              <w:rPr>
                <w:rFonts w:ascii="Times New Roman" w:eastAsia="Calibri" w:hAnsi="Times New Roman" w:cs="Times New Roman"/>
                <w:b/>
                <w:color w:val="FFFFFF"/>
                <w:sz w:val="24"/>
                <w:szCs w:val="24"/>
              </w:rPr>
              <w:t>Сценарии</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Pr>
          <w:p w:rsidR="00F51B81" w:rsidRPr="001F0139" w:rsidRDefault="00F51B81" w:rsidP="001F0139">
            <w:pPr>
              <w:spacing w:after="0"/>
              <w:jc w:val="both"/>
              <w:rPr>
                <w:rFonts w:ascii="Times New Roman" w:eastAsia="Calibri" w:hAnsi="Times New Roman" w:cs="Times New Roman"/>
                <w:b/>
                <w:color w:val="FFFFFF"/>
                <w:sz w:val="24"/>
                <w:szCs w:val="24"/>
              </w:rPr>
            </w:pPr>
            <w:r w:rsidRPr="001F0139">
              <w:rPr>
                <w:rFonts w:ascii="Times New Roman" w:eastAsia="Calibri" w:hAnsi="Times New Roman" w:cs="Times New Roman"/>
                <w:b/>
                <w:color w:val="FFFFFF"/>
                <w:sz w:val="24"/>
                <w:szCs w:val="24"/>
              </w:rPr>
              <w:t>2020</w:t>
            </w:r>
          </w:p>
        </w:tc>
        <w:tc>
          <w:tcPr>
            <w:tcW w:w="993" w:type="dxa"/>
            <w:tcBorders>
              <w:top w:val="single" w:sz="4" w:space="0" w:color="000000"/>
              <w:left w:val="single" w:sz="4" w:space="0" w:color="000000"/>
              <w:bottom w:val="single" w:sz="4" w:space="0" w:color="000000"/>
              <w:right w:val="single" w:sz="4" w:space="0" w:color="000000"/>
            </w:tcBorders>
            <w:shd w:val="clear" w:color="auto" w:fill="FF0000"/>
          </w:tcPr>
          <w:p w:rsidR="00F51B81" w:rsidRPr="001F0139" w:rsidRDefault="00F51B81" w:rsidP="001F0139">
            <w:pPr>
              <w:spacing w:after="0"/>
              <w:jc w:val="both"/>
              <w:rPr>
                <w:rFonts w:ascii="Times New Roman" w:eastAsia="Calibri" w:hAnsi="Times New Roman" w:cs="Times New Roman"/>
                <w:b/>
                <w:color w:val="FFFFFF"/>
                <w:sz w:val="24"/>
                <w:szCs w:val="24"/>
              </w:rPr>
            </w:pPr>
            <w:r w:rsidRPr="001F0139">
              <w:rPr>
                <w:rFonts w:ascii="Times New Roman" w:eastAsia="Calibri" w:hAnsi="Times New Roman" w:cs="Times New Roman"/>
                <w:b/>
                <w:color w:val="FFFFFF"/>
                <w:sz w:val="24"/>
                <w:szCs w:val="24"/>
              </w:rPr>
              <w:t>2025</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Pr>
          <w:p w:rsidR="00F51B81" w:rsidRPr="001F0139" w:rsidRDefault="00F51B81" w:rsidP="001F0139">
            <w:pPr>
              <w:spacing w:after="0"/>
              <w:jc w:val="both"/>
              <w:rPr>
                <w:rFonts w:ascii="Times New Roman" w:eastAsia="Calibri" w:hAnsi="Times New Roman" w:cs="Times New Roman"/>
                <w:b/>
                <w:color w:val="FFFFFF"/>
                <w:sz w:val="24"/>
                <w:szCs w:val="24"/>
              </w:rPr>
            </w:pPr>
            <w:r w:rsidRPr="001F0139">
              <w:rPr>
                <w:rFonts w:ascii="Times New Roman" w:eastAsia="Calibri" w:hAnsi="Times New Roman" w:cs="Times New Roman"/>
                <w:b/>
                <w:color w:val="FFFFFF"/>
                <w:sz w:val="24"/>
                <w:szCs w:val="24"/>
              </w:rPr>
              <w:t>2030</w:t>
            </w:r>
          </w:p>
        </w:tc>
      </w:tr>
      <w:tr w:rsidR="00F51B81" w:rsidRPr="001F0139" w:rsidTr="00D3682B">
        <w:trPr>
          <w:trHeight w:val="164"/>
        </w:trPr>
        <w:tc>
          <w:tcPr>
            <w:tcW w:w="3369" w:type="dxa"/>
            <w:tcBorders>
              <w:top w:val="single" w:sz="4" w:space="0" w:color="000000"/>
              <w:left w:val="single" w:sz="4" w:space="0" w:color="000000"/>
              <w:bottom w:val="single" w:sz="4" w:space="0" w:color="000000"/>
              <w:right w:val="single" w:sz="4" w:space="0" w:color="000000"/>
            </w:tcBorders>
          </w:tcPr>
          <w:p w:rsidR="00F51B81" w:rsidRPr="001F0139" w:rsidRDefault="00F51B81" w:rsidP="001F0139">
            <w:pPr>
              <w:spacing w:after="0"/>
              <w:rPr>
                <w:rFonts w:ascii="Times New Roman" w:eastAsia="Times New Roman" w:hAnsi="Times New Roman" w:cs="Times New Roman"/>
                <w:bCs/>
                <w:sz w:val="24"/>
                <w:szCs w:val="24"/>
                <w:lang w:eastAsia="ru-RU"/>
              </w:rPr>
            </w:pPr>
            <w:r w:rsidRPr="001F0139">
              <w:rPr>
                <w:rStyle w:val="211pt"/>
                <w:rFonts w:eastAsiaTheme="minorHAnsi"/>
              </w:rPr>
              <w:t>Индекс производства продукции сельского хозяйства к уровню 2015 г., %</w:t>
            </w:r>
          </w:p>
        </w:tc>
        <w:tc>
          <w:tcPr>
            <w:tcW w:w="885" w:type="dxa"/>
            <w:tcBorders>
              <w:top w:val="single" w:sz="4" w:space="0" w:color="000000"/>
              <w:left w:val="single" w:sz="4" w:space="0" w:color="000000"/>
              <w:bottom w:val="single" w:sz="4" w:space="0" w:color="000000"/>
            </w:tcBorders>
          </w:tcPr>
          <w:p w:rsidR="00F51B81" w:rsidRPr="001F0139" w:rsidRDefault="00F51B81" w:rsidP="001F0139">
            <w:pPr>
              <w:spacing w:after="0"/>
              <w:rPr>
                <w:rFonts w:ascii="Times New Roman" w:eastAsia="Calibri" w:hAnsi="Times New Roman" w:cs="Times New Roman"/>
                <w:sz w:val="24"/>
                <w:szCs w:val="24"/>
              </w:rPr>
            </w:pPr>
            <w:r w:rsidRPr="001F0139">
              <w:rPr>
                <w:rFonts w:ascii="Times New Roman" w:eastAsia="Times New Roman" w:hAnsi="Times New Roman" w:cs="Times New Roman"/>
                <w:sz w:val="24"/>
                <w:szCs w:val="24"/>
                <w:lang w:eastAsia="ru-RU"/>
              </w:rPr>
              <w:t xml:space="preserve">в % к </w:t>
            </w:r>
            <w:r w:rsidRPr="001F0139">
              <w:rPr>
                <w:rStyle w:val="211pt"/>
                <w:rFonts w:eastAsiaTheme="minorHAnsi"/>
              </w:rPr>
              <w:t>уровню 2015</w:t>
            </w:r>
          </w:p>
        </w:tc>
        <w:tc>
          <w:tcPr>
            <w:tcW w:w="816" w:type="dxa"/>
            <w:tcBorders>
              <w:top w:val="single" w:sz="4" w:space="0" w:color="000000"/>
              <w:left w:val="single" w:sz="4" w:space="0" w:color="000000"/>
              <w:bottom w:val="single" w:sz="4" w:space="0" w:color="000000"/>
            </w:tcBorders>
          </w:tcPr>
          <w:p w:rsidR="00F51B81" w:rsidRPr="001F0139" w:rsidRDefault="00F51B81" w:rsidP="001F0139">
            <w:pPr>
              <w:spacing w:after="0"/>
              <w:rPr>
                <w:rFonts w:ascii="Times New Roman" w:eastAsia="Times New Roman" w:hAnsi="Times New Roman" w:cs="Times New Roman"/>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tcPr>
          <w:p w:rsidR="00F51B81" w:rsidRPr="001F0139" w:rsidRDefault="00F51B81" w:rsidP="001F0139">
            <w:pPr>
              <w:spacing w:after="0"/>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инерционный</w:t>
            </w:r>
          </w:p>
        </w:tc>
        <w:tc>
          <w:tcPr>
            <w:tcW w:w="992" w:type="dxa"/>
            <w:tcBorders>
              <w:top w:val="single" w:sz="4" w:space="0" w:color="000000"/>
              <w:left w:val="single" w:sz="4" w:space="0" w:color="000000"/>
              <w:bottom w:val="single" w:sz="4" w:space="0" w:color="000000"/>
              <w:right w:val="single" w:sz="4" w:space="0" w:color="000000"/>
            </w:tcBorders>
            <w:vAlign w:val="center"/>
          </w:tcPr>
          <w:p w:rsidR="00F51B81" w:rsidRPr="001F0139" w:rsidRDefault="00F51B81" w:rsidP="001F0139">
            <w:pPr>
              <w:spacing w:after="0" w:line="220" w:lineRule="exact"/>
              <w:rPr>
                <w:rFonts w:ascii="Times New Roman" w:hAnsi="Times New Roman" w:cs="Times New Roman"/>
              </w:rPr>
            </w:pPr>
            <w:r w:rsidRPr="001F0139">
              <w:rPr>
                <w:rStyle w:val="211pt"/>
                <w:rFonts w:eastAsiaTheme="minorHAnsi"/>
              </w:rPr>
              <w:t>121,2</w:t>
            </w:r>
          </w:p>
        </w:tc>
        <w:tc>
          <w:tcPr>
            <w:tcW w:w="993" w:type="dxa"/>
            <w:tcBorders>
              <w:top w:val="single" w:sz="4" w:space="0" w:color="000000"/>
              <w:left w:val="single" w:sz="4" w:space="0" w:color="000000"/>
              <w:bottom w:val="single" w:sz="4" w:space="0" w:color="000000"/>
              <w:right w:val="single" w:sz="4" w:space="0" w:color="000000"/>
            </w:tcBorders>
            <w:vAlign w:val="center"/>
          </w:tcPr>
          <w:p w:rsidR="00F51B81" w:rsidRPr="001F0139" w:rsidRDefault="00F51B81" w:rsidP="001F0139">
            <w:pPr>
              <w:spacing w:after="0" w:line="220" w:lineRule="exact"/>
              <w:rPr>
                <w:rFonts w:ascii="Times New Roman" w:hAnsi="Times New Roman" w:cs="Times New Roman"/>
              </w:rPr>
            </w:pPr>
            <w:r w:rsidRPr="001F0139">
              <w:rPr>
                <w:rStyle w:val="211pt"/>
                <w:rFonts w:eastAsiaTheme="minorHAnsi"/>
              </w:rPr>
              <w:t>135,0</w:t>
            </w:r>
          </w:p>
        </w:tc>
        <w:tc>
          <w:tcPr>
            <w:tcW w:w="992" w:type="dxa"/>
            <w:tcBorders>
              <w:top w:val="single" w:sz="4" w:space="0" w:color="000000"/>
              <w:left w:val="single" w:sz="4" w:space="0" w:color="000000"/>
              <w:bottom w:val="single" w:sz="4" w:space="0" w:color="000000"/>
              <w:right w:val="single" w:sz="4" w:space="0" w:color="000000"/>
            </w:tcBorders>
            <w:vAlign w:val="center"/>
          </w:tcPr>
          <w:p w:rsidR="00F51B81" w:rsidRPr="001F0139" w:rsidRDefault="00F51B81" w:rsidP="001F0139">
            <w:pPr>
              <w:spacing w:after="0" w:line="220" w:lineRule="exact"/>
              <w:rPr>
                <w:rFonts w:ascii="Times New Roman" w:hAnsi="Times New Roman" w:cs="Times New Roman"/>
              </w:rPr>
            </w:pPr>
            <w:r w:rsidRPr="001F0139">
              <w:rPr>
                <w:rStyle w:val="211pt"/>
                <w:rFonts w:eastAsiaTheme="minorHAnsi"/>
              </w:rPr>
              <w:t>154,4</w:t>
            </w:r>
          </w:p>
        </w:tc>
      </w:tr>
      <w:tr w:rsidR="00F51B81" w:rsidRPr="001F0139" w:rsidTr="00D3682B">
        <w:trPr>
          <w:trHeight w:val="164"/>
        </w:trPr>
        <w:tc>
          <w:tcPr>
            <w:tcW w:w="3369" w:type="dxa"/>
            <w:tcBorders>
              <w:top w:val="single" w:sz="4" w:space="0" w:color="000000"/>
              <w:left w:val="single" w:sz="4" w:space="0" w:color="000000"/>
              <w:bottom w:val="single" w:sz="4" w:space="0" w:color="000000"/>
              <w:right w:val="single" w:sz="4" w:space="0" w:color="000000"/>
            </w:tcBorders>
          </w:tcPr>
          <w:p w:rsidR="00F51B81" w:rsidRPr="001F0139" w:rsidRDefault="00F51B81" w:rsidP="001F0139">
            <w:pPr>
              <w:spacing w:after="0"/>
              <w:rPr>
                <w:rFonts w:ascii="Times New Roman" w:eastAsia="Times New Roman" w:hAnsi="Times New Roman" w:cs="Times New Roman"/>
                <w:bCs/>
                <w:sz w:val="24"/>
                <w:szCs w:val="24"/>
                <w:lang w:eastAsia="ru-RU"/>
              </w:rPr>
            </w:pPr>
          </w:p>
        </w:tc>
        <w:tc>
          <w:tcPr>
            <w:tcW w:w="885" w:type="dxa"/>
            <w:tcBorders>
              <w:top w:val="single" w:sz="4" w:space="0" w:color="000000"/>
              <w:left w:val="single" w:sz="4" w:space="0" w:color="000000"/>
              <w:bottom w:val="single" w:sz="4" w:space="0" w:color="000000"/>
            </w:tcBorders>
          </w:tcPr>
          <w:p w:rsidR="00F51B81" w:rsidRPr="001F0139" w:rsidRDefault="00F51B81" w:rsidP="001F0139">
            <w:pPr>
              <w:spacing w:after="0"/>
              <w:rPr>
                <w:rFonts w:ascii="Times New Roman" w:eastAsia="Calibri" w:hAnsi="Times New Roman" w:cs="Times New Roman"/>
                <w:sz w:val="24"/>
                <w:szCs w:val="24"/>
              </w:rPr>
            </w:pPr>
          </w:p>
        </w:tc>
        <w:tc>
          <w:tcPr>
            <w:tcW w:w="816" w:type="dxa"/>
            <w:tcBorders>
              <w:top w:val="single" w:sz="4" w:space="0" w:color="000000"/>
              <w:left w:val="single" w:sz="4" w:space="0" w:color="000000"/>
              <w:bottom w:val="single" w:sz="4" w:space="0" w:color="000000"/>
            </w:tcBorders>
          </w:tcPr>
          <w:p w:rsidR="00F51B81" w:rsidRPr="001F0139" w:rsidRDefault="00F51B81" w:rsidP="001F0139">
            <w:pPr>
              <w:spacing w:after="0"/>
              <w:rPr>
                <w:rFonts w:ascii="Times New Roman" w:eastAsia="Times New Roman" w:hAnsi="Times New Roman" w:cs="Times New Roman"/>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tcPr>
          <w:p w:rsidR="00F51B81" w:rsidRPr="001F0139" w:rsidRDefault="00F51B81" w:rsidP="001F0139">
            <w:pPr>
              <w:spacing w:after="0"/>
              <w:rPr>
                <w:rFonts w:ascii="Times New Roman" w:eastAsia="Times New Roman" w:hAnsi="Times New Roman" w:cs="Times New Roman"/>
                <w:sz w:val="24"/>
                <w:szCs w:val="24"/>
                <w:lang w:eastAsia="ru-RU"/>
              </w:rPr>
            </w:pPr>
            <w:r w:rsidRPr="001F0139">
              <w:rPr>
                <w:rFonts w:ascii="Times New Roman" w:eastAsia="Times New Roman" w:hAnsi="Times New Roman" w:cs="Times New Roman"/>
                <w:sz w:val="24"/>
                <w:szCs w:val="24"/>
                <w:lang w:eastAsia="ru-RU"/>
              </w:rPr>
              <w:t>целевой</w:t>
            </w:r>
          </w:p>
        </w:tc>
        <w:tc>
          <w:tcPr>
            <w:tcW w:w="992" w:type="dxa"/>
            <w:tcBorders>
              <w:top w:val="single" w:sz="4" w:space="0" w:color="000000"/>
              <w:left w:val="single" w:sz="4" w:space="0" w:color="000000"/>
              <w:bottom w:val="single" w:sz="4" w:space="0" w:color="000000"/>
              <w:right w:val="single" w:sz="4" w:space="0" w:color="000000"/>
            </w:tcBorders>
          </w:tcPr>
          <w:p w:rsidR="00F51B81" w:rsidRPr="001F0139" w:rsidRDefault="00F51B81" w:rsidP="001F0139">
            <w:pPr>
              <w:spacing w:after="0" w:line="220" w:lineRule="exact"/>
              <w:rPr>
                <w:rFonts w:ascii="Times New Roman" w:hAnsi="Times New Roman" w:cs="Times New Roman"/>
              </w:rPr>
            </w:pPr>
            <w:r w:rsidRPr="001F0139">
              <w:rPr>
                <w:rStyle w:val="211pt"/>
                <w:rFonts w:eastAsiaTheme="minorHAnsi"/>
              </w:rPr>
              <w:t>127,6</w:t>
            </w:r>
          </w:p>
        </w:tc>
        <w:tc>
          <w:tcPr>
            <w:tcW w:w="993" w:type="dxa"/>
            <w:tcBorders>
              <w:top w:val="single" w:sz="4" w:space="0" w:color="000000"/>
              <w:left w:val="single" w:sz="4" w:space="0" w:color="000000"/>
              <w:bottom w:val="single" w:sz="4" w:space="0" w:color="000000"/>
              <w:right w:val="single" w:sz="4" w:space="0" w:color="000000"/>
            </w:tcBorders>
          </w:tcPr>
          <w:p w:rsidR="00F51B81" w:rsidRPr="001F0139" w:rsidRDefault="00F51B81" w:rsidP="001F0139">
            <w:pPr>
              <w:spacing w:after="0" w:line="220" w:lineRule="exact"/>
              <w:rPr>
                <w:rFonts w:ascii="Times New Roman" w:hAnsi="Times New Roman" w:cs="Times New Roman"/>
              </w:rPr>
            </w:pPr>
            <w:r w:rsidRPr="001F0139">
              <w:rPr>
                <w:rStyle w:val="211pt"/>
                <w:rFonts w:eastAsiaTheme="minorHAnsi"/>
              </w:rPr>
              <w:t>149,8</w:t>
            </w:r>
          </w:p>
        </w:tc>
        <w:tc>
          <w:tcPr>
            <w:tcW w:w="992" w:type="dxa"/>
            <w:tcBorders>
              <w:top w:val="single" w:sz="4" w:space="0" w:color="000000"/>
              <w:left w:val="single" w:sz="4" w:space="0" w:color="000000"/>
              <w:bottom w:val="single" w:sz="4" w:space="0" w:color="000000"/>
              <w:right w:val="single" w:sz="4" w:space="0" w:color="000000"/>
            </w:tcBorders>
          </w:tcPr>
          <w:p w:rsidR="00F51B81" w:rsidRPr="001F0139" w:rsidRDefault="00F51B81" w:rsidP="001F0139">
            <w:pPr>
              <w:spacing w:after="0" w:line="220" w:lineRule="exact"/>
              <w:rPr>
                <w:rFonts w:ascii="Times New Roman" w:hAnsi="Times New Roman" w:cs="Times New Roman"/>
              </w:rPr>
            </w:pPr>
            <w:r w:rsidRPr="001F0139">
              <w:rPr>
                <w:rStyle w:val="211pt"/>
                <w:rFonts w:eastAsiaTheme="minorHAnsi"/>
              </w:rPr>
              <w:t>183,6</w:t>
            </w:r>
          </w:p>
        </w:tc>
      </w:tr>
    </w:tbl>
    <w:p w:rsidR="00F51B81" w:rsidRPr="001F0139" w:rsidRDefault="00F51B81"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F51B81" w:rsidRPr="001F0139" w:rsidRDefault="00F51B81"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F51B81" w:rsidRPr="001F0139" w:rsidRDefault="00F51B81"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F51B81" w:rsidRPr="001F0139" w:rsidRDefault="00F51B81"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F51B81" w:rsidRPr="001F0139" w:rsidRDefault="00F51B81"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F51B81" w:rsidRPr="001F0139" w:rsidRDefault="00F51B81"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F51B81" w:rsidRPr="001F0139" w:rsidRDefault="00F51B81"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F51B81" w:rsidRPr="001F0139" w:rsidRDefault="00F51B81"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D3682B" w:rsidRDefault="00D3682B">
      <w:pPr>
        <w:rPr>
          <w:rFonts w:ascii="Times New Roman" w:hAnsi="Times New Roman" w:cs="Times New Roman"/>
          <w:b/>
          <w:sz w:val="28"/>
          <w:szCs w:val="28"/>
        </w:rPr>
      </w:pPr>
      <w:r>
        <w:rPr>
          <w:rFonts w:ascii="Times New Roman" w:hAnsi="Times New Roman" w:cs="Times New Roman"/>
          <w:b/>
          <w:sz w:val="28"/>
          <w:szCs w:val="28"/>
        </w:rPr>
        <w:br w:type="page"/>
      </w:r>
    </w:p>
    <w:p w:rsidR="00443650" w:rsidRPr="00D3682B" w:rsidRDefault="00443650" w:rsidP="001F0139">
      <w:pPr>
        <w:widowControl w:val="0"/>
        <w:autoSpaceDE w:val="0"/>
        <w:autoSpaceDN w:val="0"/>
        <w:adjustRightInd w:val="0"/>
        <w:spacing w:after="0" w:line="360" w:lineRule="auto"/>
        <w:ind w:firstLine="709"/>
        <w:jc w:val="both"/>
        <w:rPr>
          <w:rFonts w:ascii="Times New Roman" w:hAnsi="Times New Roman" w:cs="Times New Roman"/>
          <w:b/>
          <w:color w:val="365F91" w:themeColor="accent1" w:themeShade="BF"/>
          <w:sz w:val="28"/>
          <w:szCs w:val="28"/>
        </w:rPr>
      </w:pPr>
      <w:r w:rsidRPr="00D3682B">
        <w:rPr>
          <w:rFonts w:ascii="Times New Roman" w:hAnsi="Times New Roman" w:cs="Times New Roman"/>
          <w:b/>
          <w:color w:val="365F91" w:themeColor="accent1" w:themeShade="BF"/>
          <w:sz w:val="28"/>
          <w:szCs w:val="28"/>
        </w:rPr>
        <w:lastRenderedPageBreak/>
        <w:t>9.ИНСТИТУЦИОНАЛЬНОЕ И РЕСУРСНОЕ ОБЕСПЕЧЕНИЕ РЕАЛИЗАЦИИ СТРАТЕГИИ</w:t>
      </w:r>
    </w:p>
    <w:p w:rsidR="00D3682B" w:rsidRDefault="00D3682B" w:rsidP="001F0139">
      <w:pPr>
        <w:widowControl w:val="0"/>
        <w:autoSpaceDE w:val="0"/>
        <w:autoSpaceDN w:val="0"/>
        <w:adjustRightInd w:val="0"/>
        <w:spacing w:after="0" w:line="360" w:lineRule="auto"/>
        <w:ind w:firstLine="709"/>
        <w:jc w:val="both"/>
        <w:rPr>
          <w:rFonts w:ascii="Times New Roman" w:hAnsi="Times New Roman" w:cs="Times New Roman"/>
          <w:b/>
          <w:color w:val="365F91" w:themeColor="accent1" w:themeShade="BF"/>
          <w:sz w:val="28"/>
          <w:szCs w:val="28"/>
        </w:rPr>
      </w:pPr>
    </w:p>
    <w:p w:rsidR="00443650" w:rsidRPr="00D3682B" w:rsidRDefault="00443650" w:rsidP="001F0139">
      <w:pPr>
        <w:widowControl w:val="0"/>
        <w:autoSpaceDE w:val="0"/>
        <w:autoSpaceDN w:val="0"/>
        <w:adjustRightInd w:val="0"/>
        <w:spacing w:after="0" w:line="360" w:lineRule="auto"/>
        <w:ind w:firstLine="709"/>
        <w:jc w:val="both"/>
        <w:rPr>
          <w:rFonts w:ascii="Times New Roman" w:hAnsi="Times New Roman" w:cs="Times New Roman"/>
          <w:b/>
          <w:color w:val="365F91" w:themeColor="accent1" w:themeShade="BF"/>
          <w:sz w:val="28"/>
          <w:szCs w:val="28"/>
        </w:rPr>
      </w:pPr>
      <w:r w:rsidRPr="00D3682B">
        <w:rPr>
          <w:rFonts w:ascii="Times New Roman" w:hAnsi="Times New Roman" w:cs="Times New Roman"/>
          <w:b/>
          <w:color w:val="365F91" w:themeColor="accent1" w:themeShade="BF"/>
          <w:sz w:val="28"/>
          <w:szCs w:val="28"/>
        </w:rPr>
        <w:t>9.1 Этапы и сценарии развития м.р.</w:t>
      </w:r>
      <w:r w:rsidR="00D3682B">
        <w:rPr>
          <w:rFonts w:ascii="Times New Roman" w:hAnsi="Times New Roman" w:cs="Times New Roman"/>
          <w:b/>
          <w:color w:val="365F91" w:themeColor="accent1" w:themeShade="BF"/>
          <w:sz w:val="28"/>
          <w:szCs w:val="28"/>
        </w:rPr>
        <w:t xml:space="preserve"> </w:t>
      </w:r>
      <w:r w:rsidRPr="00D3682B">
        <w:rPr>
          <w:rFonts w:ascii="Times New Roman" w:hAnsi="Times New Roman" w:cs="Times New Roman"/>
          <w:b/>
          <w:color w:val="365F91" w:themeColor="accent1" w:themeShade="BF"/>
          <w:sz w:val="28"/>
          <w:szCs w:val="28"/>
        </w:rPr>
        <w:t>Камышл</w:t>
      </w:r>
      <w:r w:rsidR="00D3682B">
        <w:rPr>
          <w:rFonts w:ascii="Times New Roman" w:hAnsi="Times New Roman" w:cs="Times New Roman"/>
          <w:b/>
          <w:color w:val="365F91" w:themeColor="accent1" w:themeShade="BF"/>
          <w:sz w:val="28"/>
          <w:szCs w:val="28"/>
        </w:rPr>
        <w:t>инский</w:t>
      </w:r>
    </w:p>
    <w:p w:rsidR="00443650" w:rsidRPr="001F0139" w:rsidRDefault="00443650" w:rsidP="001F0139">
      <w:pPr>
        <w:widowControl w:val="0"/>
        <w:autoSpaceDE w:val="0"/>
        <w:autoSpaceDN w:val="0"/>
        <w:adjustRightInd w:val="0"/>
        <w:spacing w:after="0" w:line="240" w:lineRule="auto"/>
        <w:jc w:val="both"/>
        <w:rPr>
          <w:rFonts w:ascii="Times New Roman" w:hAnsi="Times New Roman" w:cs="Times New Roman"/>
          <w:sz w:val="28"/>
          <w:szCs w:val="28"/>
        </w:rPr>
      </w:pPr>
    </w:p>
    <w:p w:rsidR="00443650" w:rsidRPr="001F013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8"/>
          <w:szCs w:val="28"/>
        </w:rPr>
      </w:pPr>
      <w:bookmarkStart w:id="38" w:name="Par650"/>
      <w:bookmarkEnd w:id="38"/>
      <w:r w:rsidRPr="001F0139">
        <w:rPr>
          <w:rFonts w:ascii="Times New Roman" w:hAnsi="Times New Roman" w:cs="Times New Roman"/>
          <w:sz w:val="28"/>
          <w:szCs w:val="28"/>
        </w:rPr>
        <w:t>Стратегия определена на 15 лет (2016 - 2030 годы) и предполагает четыре этапа (три трехлетних и один шестилетний). При этом при необходимости раз в три года будет проходить корректировка, а раз в шесть лет - обновление Стратегии.</w:t>
      </w:r>
    </w:p>
    <w:p w:rsidR="00443650" w:rsidRPr="001F013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Этапы реализации различаются по условиям, факторам, рискам социально-экономического развития и приоритетам м.р.</w:t>
      </w:r>
      <w:r w:rsidR="00D3682B">
        <w:rPr>
          <w:rFonts w:ascii="Times New Roman" w:hAnsi="Times New Roman" w:cs="Times New Roman"/>
          <w:sz w:val="28"/>
          <w:szCs w:val="28"/>
        </w:rPr>
        <w:t xml:space="preserve"> </w:t>
      </w:r>
      <w:r w:rsidRPr="001F0139">
        <w:rPr>
          <w:rFonts w:ascii="Times New Roman" w:hAnsi="Times New Roman" w:cs="Times New Roman"/>
          <w:sz w:val="28"/>
          <w:szCs w:val="28"/>
        </w:rPr>
        <w:t>Камышл</w:t>
      </w:r>
      <w:r w:rsidR="00D3682B">
        <w:rPr>
          <w:rFonts w:ascii="Times New Roman" w:hAnsi="Times New Roman" w:cs="Times New Roman"/>
          <w:sz w:val="28"/>
          <w:szCs w:val="28"/>
        </w:rPr>
        <w:t>инский</w:t>
      </w:r>
      <w:r w:rsidRPr="001F0139">
        <w:rPr>
          <w:rFonts w:ascii="Times New Roman" w:hAnsi="Times New Roman" w:cs="Times New Roman"/>
          <w:sz w:val="28"/>
          <w:szCs w:val="28"/>
        </w:rPr>
        <w:t>.</w:t>
      </w:r>
    </w:p>
    <w:p w:rsidR="00443650" w:rsidRPr="001F0139" w:rsidRDefault="00443650" w:rsidP="001F0139">
      <w:pPr>
        <w:widowControl w:val="0"/>
        <w:autoSpaceDE w:val="0"/>
        <w:autoSpaceDN w:val="0"/>
        <w:adjustRightInd w:val="0"/>
        <w:spacing w:after="0" w:line="360" w:lineRule="auto"/>
        <w:ind w:firstLine="709"/>
        <w:jc w:val="both"/>
        <w:outlineLvl w:val="4"/>
        <w:rPr>
          <w:rFonts w:ascii="Times New Roman" w:hAnsi="Times New Roman" w:cs="Times New Roman"/>
          <w:sz w:val="28"/>
          <w:szCs w:val="28"/>
        </w:rPr>
      </w:pPr>
      <w:bookmarkStart w:id="39" w:name="Par653"/>
      <w:bookmarkEnd w:id="39"/>
      <w:r w:rsidRPr="001F0139">
        <w:rPr>
          <w:rFonts w:ascii="Times New Roman" w:hAnsi="Times New Roman" w:cs="Times New Roman"/>
          <w:sz w:val="28"/>
          <w:szCs w:val="28"/>
        </w:rPr>
        <w:t>Первый этап (2016 - 2018 годы) базируется на реализации и расширении тех конкурентных преимуществ, которыми обладает экономика м.р.</w:t>
      </w:r>
      <w:r w:rsidR="00D3682B">
        <w:rPr>
          <w:rFonts w:ascii="Times New Roman" w:hAnsi="Times New Roman" w:cs="Times New Roman"/>
          <w:sz w:val="28"/>
          <w:szCs w:val="28"/>
        </w:rPr>
        <w:t xml:space="preserve"> </w:t>
      </w:r>
      <w:r w:rsidRPr="001F0139">
        <w:rPr>
          <w:rFonts w:ascii="Times New Roman" w:hAnsi="Times New Roman" w:cs="Times New Roman"/>
          <w:sz w:val="28"/>
          <w:szCs w:val="28"/>
        </w:rPr>
        <w:t>Камышлинский</w:t>
      </w:r>
      <w:r w:rsidR="00D3682B">
        <w:rPr>
          <w:rFonts w:ascii="Times New Roman" w:hAnsi="Times New Roman" w:cs="Times New Roman"/>
          <w:sz w:val="28"/>
          <w:szCs w:val="28"/>
        </w:rPr>
        <w:t xml:space="preserve"> </w:t>
      </w:r>
      <w:r w:rsidRPr="001F0139">
        <w:rPr>
          <w:rFonts w:ascii="Times New Roman" w:hAnsi="Times New Roman" w:cs="Times New Roman"/>
          <w:sz w:val="28"/>
          <w:szCs w:val="28"/>
        </w:rPr>
        <w:t>с целью повышения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На данном этапе необходимо будет структурировать систему муниципальных программ с формированием программы развития ключевых экономических направлений, проработать набор приоритетных проектов развития, структурированных в рамках портфеля проектов стратегического развития</w:t>
      </w:r>
      <w:r w:rsidR="00A43C32">
        <w:rPr>
          <w:rFonts w:ascii="Times New Roman" w:hAnsi="Times New Roman" w:cs="Times New Roman"/>
          <w:sz w:val="28"/>
          <w:szCs w:val="28"/>
        </w:rPr>
        <w:t>.</w:t>
      </w:r>
      <w:r w:rsidRPr="001F0139">
        <w:rPr>
          <w:rFonts w:ascii="Times New Roman" w:hAnsi="Times New Roman" w:cs="Times New Roman"/>
          <w:sz w:val="28"/>
          <w:szCs w:val="28"/>
        </w:rPr>
        <w:t xml:space="preserve"> </w:t>
      </w:r>
    </w:p>
    <w:p w:rsidR="00443650" w:rsidRPr="001F013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Реализация первого этапа. Стратегия на данном этапе обусловливает вероятность существенных корректировок системы стратегических документов </w:t>
      </w:r>
      <w:r w:rsidR="009E7227" w:rsidRPr="001F0139">
        <w:rPr>
          <w:rFonts w:ascii="Times New Roman" w:hAnsi="Times New Roman" w:cs="Times New Roman"/>
          <w:sz w:val="28"/>
          <w:szCs w:val="28"/>
        </w:rPr>
        <w:t>м.р.</w:t>
      </w:r>
      <w:r w:rsidR="009E7227">
        <w:rPr>
          <w:rFonts w:ascii="Times New Roman" w:hAnsi="Times New Roman" w:cs="Times New Roman"/>
          <w:sz w:val="28"/>
          <w:szCs w:val="28"/>
        </w:rPr>
        <w:t xml:space="preserve"> </w:t>
      </w:r>
      <w:r w:rsidR="009E7227" w:rsidRPr="001F0139">
        <w:rPr>
          <w:rFonts w:ascii="Times New Roman" w:hAnsi="Times New Roman" w:cs="Times New Roman"/>
          <w:sz w:val="28"/>
          <w:szCs w:val="28"/>
        </w:rPr>
        <w:t>Камышлинский</w:t>
      </w:r>
      <w:r w:rsidRPr="001F0139">
        <w:rPr>
          <w:rFonts w:ascii="Times New Roman" w:hAnsi="Times New Roman" w:cs="Times New Roman"/>
          <w:sz w:val="28"/>
          <w:szCs w:val="28"/>
        </w:rPr>
        <w:t>.</w:t>
      </w:r>
    </w:p>
    <w:p w:rsidR="00443650" w:rsidRPr="001F0139" w:rsidRDefault="00443650" w:rsidP="001F0139">
      <w:pPr>
        <w:widowControl w:val="0"/>
        <w:autoSpaceDE w:val="0"/>
        <w:autoSpaceDN w:val="0"/>
        <w:adjustRightInd w:val="0"/>
        <w:spacing w:after="0" w:line="360" w:lineRule="auto"/>
        <w:ind w:firstLine="709"/>
        <w:jc w:val="both"/>
        <w:outlineLvl w:val="4"/>
        <w:rPr>
          <w:rFonts w:ascii="Times New Roman" w:hAnsi="Times New Roman" w:cs="Times New Roman"/>
          <w:sz w:val="28"/>
          <w:szCs w:val="28"/>
        </w:rPr>
      </w:pPr>
      <w:bookmarkStart w:id="40" w:name="Par655"/>
      <w:bookmarkEnd w:id="40"/>
      <w:r w:rsidRPr="001F0139">
        <w:rPr>
          <w:rFonts w:ascii="Times New Roman" w:hAnsi="Times New Roman" w:cs="Times New Roman"/>
          <w:sz w:val="28"/>
          <w:szCs w:val="28"/>
        </w:rPr>
        <w:t>Второй этап (2019 - 2021 годы) базируется на модели роста конкурентоспособности. Будут создаваться институциональные условия и технологические заделы развития. В рамках м.р.</w:t>
      </w:r>
      <w:r w:rsidR="00D3682B">
        <w:rPr>
          <w:rFonts w:ascii="Times New Roman" w:hAnsi="Times New Roman" w:cs="Times New Roman"/>
          <w:sz w:val="28"/>
          <w:szCs w:val="28"/>
        </w:rPr>
        <w:t xml:space="preserve"> </w:t>
      </w:r>
      <w:r w:rsidRPr="001F0139">
        <w:rPr>
          <w:rFonts w:ascii="Times New Roman" w:hAnsi="Times New Roman" w:cs="Times New Roman"/>
          <w:sz w:val="28"/>
          <w:szCs w:val="28"/>
        </w:rPr>
        <w:t>Камышлинский</w:t>
      </w:r>
      <w:r w:rsidR="00D3682B">
        <w:rPr>
          <w:rFonts w:ascii="Times New Roman" w:hAnsi="Times New Roman" w:cs="Times New Roman"/>
          <w:sz w:val="28"/>
          <w:szCs w:val="28"/>
        </w:rPr>
        <w:t xml:space="preserve"> </w:t>
      </w:r>
      <w:r w:rsidRPr="001F0139">
        <w:rPr>
          <w:rFonts w:ascii="Times New Roman" w:hAnsi="Times New Roman" w:cs="Times New Roman"/>
          <w:sz w:val="28"/>
          <w:szCs w:val="28"/>
        </w:rPr>
        <w:t>ускорится модернизация "современной экономики" и начнется создание заделов "умной экономики", стартуют проекты областной</w:t>
      </w:r>
      <w:r w:rsidR="002760F1">
        <w:rPr>
          <w:rFonts w:ascii="Times New Roman" w:hAnsi="Times New Roman" w:cs="Times New Roman"/>
          <w:sz w:val="28"/>
          <w:szCs w:val="28"/>
        </w:rPr>
        <w:t xml:space="preserve"> </w:t>
      </w:r>
      <w:r w:rsidRPr="001F0139">
        <w:rPr>
          <w:rFonts w:ascii="Times New Roman" w:hAnsi="Times New Roman" w:cs="Times New Roman"/>
          <w:sz w:val="28"/>
          <w:szCs w:val="28"/>
        </w:rPr>
        <w:t>и межрегиональной интеграции. Внешняя конъюнктура улучшится, темпы роста повысятся.</w:t>
      </w:r>
    </w:p>
    <w:p w:rsidR="00443650" w:rsidRPr="001F0139" w:rsidRDefault="00443650" w:rsidP="001F0139">
      <w:pPr>
        <w:widowControl w:val="0"/>
        <w:autoSpaceDE w:val="0"/>
        <w:autoSpaceDN w:val="0"/>
        <w:adjustRightInd w:val="0"/>
        <w:spacing w:after="0" w:line="360" w:lineRule="auto"/>
        <w:ind w:firstLine="709"/>
        <w:jc w:val="both"/>
        <w:outlineLvl w:val="4"/>
        <w:rPr>
          <w:rFonts w:ascii="Times New Roman" w:hAnsi="Times New Roman" w:cs="Times New Roman"/>
          <w:sz w:val="28"/>
          <w:szCs w:val="28"/>
        </w:rPr>
      </w:pPr>
      <w:bookmarkStart w:id="41" w:name="Par656"/>
      <w:bookmarkEnd w:id="41"/>
      <w:r w:rsidRPr="001F0139">
        <w:rPr>
          <w:rFonts w:ascii="Times New Roman" w:hAnsi="Times New Roman" w:cs="Times New Roman"/>
          <w:sz w:val="28"/>
          <w:szCs w:val="28"/>
        </w:rPr>
        <w:t xml:space="preserve">Третий этап (2022 - 2024 годы) - обеспечит заметный рост </w:t>
      </w:r>
      <w:r w:rsidRPr="001F0139">
        <w:rPr>
          <w:rFonts w:ascii="Times New Roman" w:hAnsi="Times New Roman" w:cs="Times New Roman"/>
          <w:sz w:val="28"/>
          <w:szCs w:val="28"/>
        </w:rPr>
        <w:lastRenderedPageBreak/>
        <w:t>конкурентоспособности экономики и социальной сферы м.р.</w:t>
      </w:r>
      <w:r w:rsidR="00D3682B">
        <w:rPr>
          <w:rFonts w:ascii="Times New Roman" w:hAnsi="Times New Roman" w:cs="Times New Roman"/>
          <w:sz w:val="28"/>
          <w:szCs w:val="28"/>
        </w:rPr>
        <w:t xml:space="preserve"> </w:t>
      </w:r>
      <w:r w:rsidRPr="001F0139">
        <w:rPr>
          <w:rFonts w:ascii="Times New Roman" w:hAnsi="Times New Roman" w:cs="Times New Roman"/>
          <w:sz w:val="28"/>
          <w:szCs w:val="28"/>
        </w:rPr>
        <w:t>Камышлинский на основе перехода на новую сбалансированную модель развития, значительного улучшения качества человеческого потенциала и социального пространства, углубления структурной модернизации "современной экономики", значительного развития новой "умной экономики", превращения инноваций в ведущий фактор экономического роста м.р.</w:t>
      </w:r>
      <w:r w:rsidR="00D3682B">
        <w:rPr>
          <w:rFonts w:ascii="Times New Roman" w:hAnsi="Times New Roman" w:cs="Times New Roman"/>
          <w:sz w:val="28"/>
          <w:szCs w:val="28"/>
        </w:rPr>
        <w:t xml:space="preserve"> </w:t>
      </w:r>
      <w:r w:rsidRPr="001F0139">
        <w:rPr>
          <w:rFonts w:ascii="Times New Roman" w:hAnsi="Times New Roman" w:cs="Times New Roman"/>
          <w:sz w:val="28"/>
          <w:szCs w:val="28"/>
        </w:rPr>
        <w:t>Камышл</w:t>
      </w:r>
      <w:r w:rsidR="00D3682B">
        <w:rPr>
          <w:rFonts w:ascii="Times New Roman" w:hAnsi="Times New Roman" w:cs="Times New Roman"/>
          <w:sz w:val="28"/>
          <w:szCs w:val="28"/>
        </w:rPr>
        <w:t>инский</w:t>
      </w:r>
      <w:r w:rsidRPr="001F0139">
        <w:rPr>
          <w:rFonts w:ascii="Times New Roman" w:hAnsi="Times New Roman" w:cs="Times New Roman"/>
          <w:sz w:val="28"/>
          <w:szCs w:val="28"/>
        </w:rPr>
        <w:t>.</w:t>
      </w:r>
    </w:p>
    <w:p w:rsidR="00443650" w:rsidRPr="001F0139" w:rsidRDefault="00443650" w:rsidP="001F0139">
      <w:pPr>
        <w:widowControl w:val="0"/>
        <w:autoSpaceDE w:val="0"/>
        <w:autoSpaceDN w:val="0"/>
        <w:adjustRightInd w:val="0"/>
        <w:spacing w:after="0" w:line="360" w:lineRule="auto"/>
        <w:ind w:firstLine="709"/>
        <w:jc w:val="both"/>
        <w:outlineLvl w:val="4"/>
        <w:rPr>
          <w:rFonts w:ascii="Times New Roman" w:hAnsi="Times New Roman" w:cs="Times New Roman"/>
          <w:sz w:val="28"/>
          <w:szCs w:val="28"/>
        </w:rPr>
      </w:pPr>
      <w:bookmarkStart w:id="42" w:name="Par657"/>
      <w:bookmarkEnd w:id="42"/>
      <w:r w:rsidRPr="001F0139">
        <w:rPr>
          <w:rFonts w:ascii="Times New Roman" w:hAnsi="Times New Roman" w:cs="Times New Roman"/>
          <w:sz w:val="28"/>
          <w:szCs w:val="28"/>
        </w:rPr>
        <w:t xml:space="preserve">Четвертый этап (2025 - 2030 годы и далее) - произойдет рывок в повышении конкурентоспособности экономики, будут созданы условия для достижения глобальной конкурентоспособности </w:t>
      </w:r>
      <w:r w:rsidR="005B5E0C">
        <w:rPr>
          <w:rFonts w:ascii="Times New Roman" w:hAnsi="Times New Roman" w:cs="Times New Roman"/>
          <w:sz w:val="28"/>
          <w:szCs w:val="28"/>
        </w:rPr>
        <w:t>муниципального района</w:t>
      </w:r>
      <w:r w:rsidRPr="001F0139">
        <w:rPr>
          <w:rFonts w:ascii="Times New Roman" w:hAnsi="Times New Roman" w:cs="Times New Roman"/>
          <w:sz w:val="28"/>
          <w:szCs w:val="28"/>
        </w:rPr>
        <w:t xml:space="preserve"> в рамках ряда ключевых направлений. М.р.</w:t>
      </w:r>
      <w:r w:rsidR="00D3682B">
        <w:rPr>
          <w:rFonts w:ascii="Times New Roman" w:hAnsi="Times New Roman" w:cs="Times New Roman"/>
          <w:sz w:val="28"/>
          <w:szCs w:val="28"/>
        </w:rPr>
        <w:t xml:space="preserve"> </w:t>
      </w:r>
      <w:r w:rsidRPr="001F0139">
        <w:rPr>
          <w:rFonts w:ascii="Times New Roman" w:hAnsi="Times New Roman" w:cs="Times New Roman"/>
          <w:sz w:val="28"/>
          <w:szCs w:val="28"/>
        </w:rPr>
        <w:t>Камышлинский сможет занять позицию лидера</w:t>
      </w:r>
      <w:r w:rsidR="002760F1">
        <w:rPr>
          <w:rFonts w:ascii="Times New Roman" w:hAnsi="Times New Roman" w:cs="Times New Roman"/>
          <w:sz w:val="28"/>
          <w:szCs w:val="28"/>
        </w:rPr>
        <w:t xml:space="preserve"> </w:t>
      </w:r>
      <w:r w:rsidR="00A43C32">
        <w:rPr>
          <w:rFonts w:ascii="Times New Roman" w:hAnsi="Times New Roman" w:cs="Times New Roman"/>
          <w:sz w:val="28"/>
          <w:szCs w:val="28"/>
        </w:rPr>
        <w:t>Самарской области.</w:t>
      </w:r>
    </w:p>
    <w:p w:rsidR="00443650" w:rsidRPr="001F013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Неопределенность прогноза внешних условий обусловливает необходимость использования сценарных вариантов реализации Стратегии. Предложено два</w:t>
      </w:r>
      <w:r w:rsidR="002760F1">
        <w:rPr>
          <w:rFonts w:ascii="Times New Roman" w:hAnsi="Times New Roman" w:cs="Times New Roman"/>
          <w:sz w:val="28"/>
          <w:szCs w:val="28"/>
        </w:rPr>
        <w:t xml:space="preserve"> </w:t>
      </w:r>
      <w:r w:rsidRPr="001F0139">
        <w:rPr>
          <w:rFonts w:ascii="Times New Roman" w:hAnsi="Times New Roman" w:cs="Times New Roman"/>
          <w:sz w:val="28"/>
          <w:szCs w:val="28"/>
        </w:rPr>
        <w:t>сценария:</w:t>
      </w:r>
    </w:p>
    <w:p w:rsidR="00443650" w:rsidRPr="001F013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сценарий 1 - инерционный (сценарий жестких ресурсных ограничений);</w:t>
      </w:r>
    </w:p>
    <w:p w:rsidR="00443650" w:rsidRPr="001F013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w:t>
      </w:r>
      <w:r w:rsidR="002760F1">
        <w:rPr>
          <w:rFonts w:ascii="Times New Roman" w:hAnsi="Times New Roman" w:cs="Times New Roman"/>
          <w:sz w:val="28"/>
          <w:szCs w:val="28"/>
        </w:rPr>
        <w:t xml:space="preserve"> </w:t>
      </w:r>
      <w:r w:rsidRPr="001F0139">
        <w:rPr>
          <w:rFonts w:ascii="Times New Roman" w:hAnsi="Times New Roman" w:cs="Times New Roman"/>
          <w:sz w:val="28"/>
          <w:szCs w:val="28"/>
        </w:rPr>
        <w:t>сценарий 2 - целевой (сценарий мягких ресурсных ограничений).</w:t>
      </w:r>
    </w:p>
    <w:p w:rsidR="00443650" w:rsidRPr="001F0139" w:rsidRDefault="00443650" w:rsidP="001F0139">
      <w:pPr>
        <w:widowControl w:val="0"/>
        <w:autoSpaceDE w:val="0"/>
        <w:autoSpaceDN w:val="0"/>
        <w:adjustRightInd w:val="0"/>
        <w:spacing w:after="0" w:line="360" w:lineRule="auto"/>
        <w:ind w:firstLine="709"/>
        <w:jc w:val="both"/>
        <w:outlineLvl w:val="4"/>
        <w:rPr>
          <w:rFonts w:ascii="Times New Roman" w:hAnsi="Times New Roman" w:cs="Times New Roman"/>
          <w:sz w:val="28"/>
          <w:szCs w:val="28"/>
        </w:rPr>
      </w:pPr>
      <w:bookmarkStart w:id="43" w:name="Par662"/>
      <w:bookmarkEnd w:id="43"/>
      <w:r w:rsidRPr="001F0139">
        <w:rPr>
          <w:rFonts w:ascii="Times New Roman" w:hAnsi="Times New Roman" w:cs="Times New Roman"/>
          <w:b/>
          <w:sz w:val="28"/>
          <w:szCs w:val="28"/>
        </w:rPr>
        <w:t>Инерционный сценарий</w:t>
      </w:r>
      <w:r w:rsidRPr="001F0139">
        <w:rPr>
          <w:rFonts w:ascii="Times New Roman" w:hAnsi="Times New Roman" w:cs="Times New Roman"/>
          <w:sz w:val="28"/>
          <w:szCs w:val="28"/>
        </w:rPr>
        <w:t>. Данный сценарий не предполагает ускорения темпов экономического роста (возможно временное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w:t>
      </w:r>
    </w:p>
    <w:p w:rsidR="00443650" w:rsidRPr="001F013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Основные параметры сценария:</w:t>
      </w:r>
    </w:p>
    <w:p w:rsidR="00443650" w:rsidRPr="001F013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закрепление и расширение конкурентных преимуществ в традиционных сферах с целью формирования устойчивой модели развития, позволяющей обеспечить незначительное сокращение разрыва в конкурентоспособности м.р.</w:t>
      </w:r>
      <w:r w:rsidR="00D3682B">
        <w:rPr>
          <w:rFonts w:ascii="Times New Roman" w:hAnsi="Times New Roman" w:cs="Times New Roman"/>
          <w:sz w:val="28"/>
          <w:szCs w:val="28"/>
        </w:rPr>
        <w:t xml:space="preserve"> </w:t>
      </w:r>
      <w:r w:rsidRPr="001F0139">
        <w:rPr>
          <w:rFonts w:ascii="Times New Roman" w:hAnsi="Times New Roman" w:cs="Times New Roman"/>
          <w:sz w:val="28"/>
          <w:szCs w:val="28"/>
        </w:rPr>
        <w:t xml:space="preserve">Камышлинский от других </w:t>
      </w:r>
      <w:r w:rsidR="00D3682B">
        <w:rPr>
          <w:rFonts w:ascii="Times New Roman" w:hAnsi="Times New Roman" w:cs="Times New Roman"/>
          <w:sz w:val="28"/>
          <w:szCs w:val="28"/>
        </w:rPr>
        <w:t xml:space="preserve">муниципальных </w:t>
      </w:r>
      <w:r w:rsidR="00D3682B">
        <w:rPr>
          <w:rFonts w:ascii="Times New Roman" w:hAnsi="Times New Roman" w:cs="Times New Roman"/>
          <w:sz w:val="28"/>
          <w:szCs w:val="28"/>
        </w:rPr>
        <w:lastRenderedPageBreak/>
        <w:t>образований.</w:t>
      </w:r>
    </w:p>
    <w:p w:rsidR="00443650" w:rsidRPr="001F013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небольшой рост человеческого капитала;</w:t>
      </w:r>
    </w:p>
    <w:p w:rsidR="00443650" w:rsidRPr="001F013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rsidR="00443650" w:rsidRPr="001F013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небольшой рост инвестиционной привлекательности;</w:t>
      </w:r>
    </w:p>
    <w:p w:rsidR="00443650" w:rsidRPr="001F013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формирование условий пространственного развития;</w:t>
      </w:r>
    </w:p>
    <w:p w:rsidR="00443650" w:rsidRPr="001F013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расширение интеграционных процессов в межрегиональное и международное социально-экономическое пространство;</w:t>
      </w:r>
    </w:p>
    <w:p w:rsidR="00443650" w:rsidRPr="001F013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развитие институциональной среды, способствующей сбалансированному устойчивому развитию;</w:t>
      </w:r>
    </w:p>
    <w:p w:rsidR="00443650" w:rsidRPr="001F013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стабильный уровень безопасности.</w:t>
      </w:r>
    </w:p>
    <w:p w:rsidR="00443650" w:rsidRPr="001F0139" w:rsidRDefault="00443650" w:rsidP="001F0139">
      <w:pPr>
        <w:widowControl w:val="0"/>
        <w:autoSpaceDE w:val="0"/>
        <w:autoSpaceDN w:val="0"/>
        <w:adjustRightInd w:val="0"/>
        <w:spacing w:after="0" w:line="360" w:lineRule="auto"/>
        <w:ind w:firstLine="709"/>
        <w:jc w:val="both"/>
        <w:outlineLvl w:val="4"/>
        <w:rPr>
          <w:rFonts w:ascii="Times New Roman" w:hAnsi="Times New Roman" w:cs="Times New Roman"/>
          <w:sz w:val="28"/>
          <w:szCs w:val="28"/>
        </w:rPr>
      </w:pPr>
      <w:bookmarkStart w:id="44" w:name="Par673"/>
      <w:bookmarkStart w:id="45" w:name="Par683"/>
      <w:bookmarkEnd w:id="44"/>
      <w:bookmarkEnd w:id="45"/>
      <w:r w:rsidRPr="001F0139">
        <w:rPr>
          <w:rFonts w:ascii="Times New Roman" w:hAnsi="Times New Roman" w:cs="Times New Roman"/>
          <w:b/>
          <w:sz w:val="28"/>
          <w:szCs w:val="28"/>
        </w:rPr>
        <w:t>Целевой сценарий</w:t>
      </w:r>
      <w:r w:rsidRPr="001F0139">
        <w:rPr>
          <w:rFonts w:ascii="Times New Roman" w:hAnsi="Times New Roman" w:cs="Times New Roman"/>
          <w:sz w:val="28"/>
          <w:szCs w:val="28"/>
        </w:rPr>
        <w:t>. Предполагает полное раскрытие потенциала развития, достижение глобальной конкурентоспособности. Успешно реализуется активация населения: полностью модернизируется "современная экономика" (преимущественно четвертого с элементами пятого технологического уклада), создается сектор "умной экономики" (пятого - шестого технологических укладов, с возможностью появления седьмого технологического уклада). Большинство намеченных проектов реализуется в плановые сроки.</w:t>
      </w:r>
    </w:p>
    <w:p w:rsidR="00443650" w:rsidRPr="001F0139" w:rsidRDefault="00443650"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При реализации данного сценария в экономике района, по сути, создаются новые конкурентные преимущества, связанные с ее диверсификацией и интенсивным развитием производства.</w:t>
      </w:r>
    </w:p>
    <w:p w:rsidR="00443650" w:rsidRPr="001F0139" w:rsidRDefault="00443650"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Целевой сценарий предусматривает активную деятельность по привлечению м.р.</w:t>
      </w:r>
      <w:r w:rsidR="00D3682B">
        <w:rPr>
          <w:rFonts w:ascii="Times New Roman" w:hAnsi="Times New Roman" w:cs="Times New Roman"/>
          <w:sz w:val="28"/>
          <w:szCs w:val="28"/>
        </w:rPr>
        <w:t xml:space="preserve"> </w:t>
      </w:r>
      <w:r w:rsidRPr="001F0139">
        <w:rPr>
          <w:rFonts w:ascii="Times New Roman" w:hAnsi="Times New Roman" w:cs="Times New Roman"/>
          <w:sz w:val="28"/>
          <w:szCs w:val="28"/>
        </w:rPr>
        <w:t xml:space="preserve">Камышлинский инвестиций, направляемых как на новые проекты, так и обновление технологической базы существующих производств. </w:t>
      </w:r>
    </w:p>
    <w:p w:rsidR="00443650" w:rsidRPr="001F0139" w:rsidRDefault="00443650"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Сценарий базируется на благоприятных внешних и внутренних условиях.</w:t>
      </w:r>
    </w:p>
    <w:p w:rsidR="00443650" w:rsidRPr="001F0139" w:rsidRDefault="00443650"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 xml:space="preserve">При развитии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по данному сценарию прогнозируется рост численности населения как за счет увеличения естественного движения населения, так и за счет положительной динамики миграционных процессов. При этом прогнозируемые темпы рождаемости и миграционного прироста населения не смогут в полной мере предотвратить сокращение численности населения в трудоспособном возрасте. Предполагаемая диверсификация экономики должна привести к созданию новых мест приложения труда, что повлечет за собой спрос на трудовые ресурсы. Однако, по причине демографического старения населения, на территории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может возникнуть такая проблема, как дефицит квалифицированной рабочей силы. Данное обстоятельство может привести к росту доли работающих пенсионеров, либо к привлечению рабочих кадров на территорию муниципального</w:t>
      </w:r>
      <w:r w:rsidR="002760F1">
        <w:rPr>
          <w:rFonts w:ascii="Times New Roman" w:hAnsi="Times New Roman" w:cs="Times New Roman"/>
          <w:sz w:val="28"/>
          <w:szCs w:val="28"/>
        </w:rPr>
        <w:t xml:space="preserve"> </w:t>
      </w:r>
      <w:r w:rsidRPr="001F0139">
        <w:rPr>
          <w:rFonts w:ascii="Times New Roman" w:hAnsi="Times New Roman" w:cs="Times New Roman"/>
          <w:sz w:val="28"/>
          <w:szCs w:val="28"/>
        </w:rPr>
        <w:t>района в целях успешной реализации крупных инфраструктурных проектов.</w:t>
      </w:r>
    </w:p>
    <w:p w:rsidR="00443650" w:rsidRPr="001F0139" w:rsidRDefault="00443650"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Целевой сценарий предполагает интенсивное освоение территории, активное партнерство местных, районных и окружных органов власти и бизнеса в реализации проектов развития территорий. На территории района и входящих в него поселений предполагается создание единого экономического, транспортного, культурного и политического пространства для ведения бизнеса.</w:t>
      </w:r>
    </w:p>
    <w:p w:rsidR="00443650" w:rsidRPr="001F0139" w:rsidRDefault="00443650"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Целевой сценарий развития района предусматривает существенные качественные изменения по основным индикаторам социально-экономического развития. Логика целевого сценария развития предполагает ориентацию на активное внедрение инноваций.</w:t>
      </w:r>
    </w:p>
    <w:p w:rsidR="00443650" w:rsidRPr="001F0139" w:rsidRDefault="00443650"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Реализация данного сценария возможна в условиях наращивания энергоресурсов.</w:t>
      </w:r>
    </w:p>
    <w:p w:rsidR="00443650" w:rsidRPr="001F0139" w:rsidRDefault="00443650" w:rsidP="001F0139">
      <w:pPr>
        <w:shd w:val="clear" w:color="auto" w:fill="FFFFFF"/>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Данный сценарий учитывает сохранение специализации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в основных существующих направлениях экономики. Реализация данного сценария потребует от органов местного самоуправления согласованных синхронизированных действий с заинтересованными </w:t>
      </w:r>
      <w:r w:rsidRPr="001F0139">
        <w:rPr>
          <w:rFonts w:ascii="Times New Roman" w:hAnsi="Times New Roman" w:cs="Times New Roman"/>
          <w:sz w:val="28"/>
          <w:szCs w:val="28"/>
        </w:rPr>
        <w:lastRenderedPageBreak/>
        <w:t>сторонами по масштабной подготовке и освоению промышленных, деловых (офисных) и жилых зон (кварталов), развитию сети транспортных коридоров, реализации программ по привлечению населения из других населенных пунктов.</w:t>
      </w:r>
    </w:p>
    <w:p w:rsidR="00443650" w:rsidRPr="001F0139" w:rsidRDefault="00443650" w:rsidP="001F0139">
      <w:pPr>
        <w:spacing w:after="0"/>
        <w:rPr>
          <w:rFonts w:ascii="Times New Roman" w:hAnsi="Times New Roman" w:cs="Times New Roman"/>
          <w:sz w:val="28"/>
          <w:szCs w:val="28"/>
        </w:rPr>
      </w:pPr>
      <w:r w:rsidRPr="001F0139">
        <w:rPr>
          <w:rFonts w:ascii="Times New Roman" w:hAnsi="Times New Roman" w:cs="Times New Roman"/>
          <w:sz w:val="28"/>
          <w:szCs w:val="28"/>
        </w:rPr>
        <w:t>Таким образом, реализация целевого сценария потребует решения сложных социально-культурных и социально-экономических задач</w:t>
      </w:r>
    </w:p>
    <w:p w:rsidR="00443650" w:rsidRPr="001F0139" w:rsidRDefault="00443650" w:rsidP="001F0139">
      <w:pPr>
        <w:spacing w:after="0"/>
        <w:rPr>
          <w:rFonts w:ascii="Times New Roman" w:hAnsi="Times New Roman" w:cs="Times New Roman"/>
          <w:sz w:val="28"/>
          <w:szCs w:val="28"/>
        </w:rPr>
      </w:pPr>
    </w:p>
    <w:p w:rsidR="00443650" w:rsidRPr="001F0139" w:rsidRDefault="00443650" w:rsidP="001F0139">
      <w:pPr>
        <w:spacing w:after="0" w:line="360" w:lineRule="auto"/>
        <w:ind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9.2. Оценка финансовых ресурсов</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В соответствии с Федеральным законом от 28 июня 2014 года №172-ФЗ «О стратегическом планировании в Российской Федерации» и Законом Самарской области от 12.03.2018 №19-ГД «О стратегическом планировании в Самарской области» реализация Стратегии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будет осуществляться путем разработки плана мероприятий, в котором будут детализированы приоритеты Стратегии и осуществлена их увязка с мероприятиями муниципальных программ и бюджетным финансированием.</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Ежегодно по итогам оценки эффективности реализации приоритетных стратегических проектов, муниципальных программ и мониторинга хода исполнения плана мероприятий по реализации Стратегии объем бюджетных средств на реализацию Стратегии будет уточняться, при этом во внимание будут приняты возможности бюджета.</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Реализация стратегии социально-экономического развития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будет осуществляться на основе комплексного подхода путем применения соответствующих механизмов и инструментов по достижению заявленных стратегических целей и поставленных в документе конкретных задач. Данный документ (стратегия) является основополагающим документом, цели и задачи которого разработаны в строгом соответствии с Указом Президента РФ от 07 мая 2018г., со Стратегией социально-экономического развития Самарской области до 2030г.</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 xml:space="preserve">Реализация стратегии предусматривает взаимодействие следующих субъектов – участников социально-экономической жизни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Органы местного самоуправления на территории</w:t>
      </w:r>
      <w:r w:rsidR="002760F1">
        <w:rPr>
          <w:rFonts w:ascii="Times New Roman" w:hAnsi="Times New Roman" w:cs="Times New Roman"/>
          <w:sz w:val="28"/>
          <w:szCs w:val="28"/>
        </w:rPr>
        <w:t xml:space="preserve">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Органы государственной власти Самарской области;</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Органы власти федерального уровня (территориальные органы федеральных органов исполнительной власти);</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Отраслевые ассоциации и объединения хозяйствующих субъектов;</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Общественные организации, политические партии и движения;</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Хозяйствующие субъекты;</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Население </w:t>
      </w:r>
      <w:r w:rsidR="00D3682B">
        <w:rPr>
          <w:rFonts w:ascii="Times New Roman" w:hAnsi="Times New Roman" w:cs="Times New Roman"/>
          <w:sz w:val="28"/>
          <w:szCs w:val="28"/>
        </w:rPr>
        <w:t>м.р. Камышлинский</w:t>
      </w:r>
    </w:p>
    <w:p w:rsidR="00443650" w:rsidRPr="001F0139" w:rsidRDefault="00443650" w:rsidP="001F0139">
      <w:pPr>
        <w:spacing w:after="0" w:line="360" w:lineRule="auto"/>
        <w:ind w:firstLine="709"/>
        <w:jc w:val="both"/>
        <w:rPr>
          <w:rFonts w:ascii="Times New Roman" w:hAnsi="Times New Roman" w:cs="Times New Roman"/>
          <w:sz w:val="28"/>
          <w:szCs w:val="28"/>
        </w:rPr>
      </w:pPr>
    </w:p>
    <w:p w:rsidR="00443650" w:rsidRPr="001F0139" w:rsidRDefault="00443650" w:rsidP="001F0139">
      <w:pPr>
        <w:spacing w:after="0" w:line="360" w:lineRule="auto"/>
        <w:ind w:firstLine="709"/>
        <w:jc w:val="both"/>
        <w:rPr>
          <w:rFonts w:ascii="Times New Roman" w:hAnsi="Times New Roman" w:cs="Times New Roman"/>
          <w:b/>
          <w:color w:val="365F91" w:themeColor="accent1" w:themeShade="BF"/>
          <w:sz w:val="28"/>
          <w:szCs w:val="28"/>
        </w:rPr>
      </w:pPr>
      <w:r w:rsidRPr="001F0139">
        <w:rPr>
          <w:rFonts w:ascii="Times New Roman" w:hAnsi="Times New Roman" w:cs="Times New Roman"/>
          <w:b/>
          <w:color w:val="365F91" w:themeColor="accent1" w:themeShade="BF"/>
          <w:sz w:val="28"/>
          <w:szCs w:val="28"/>
        </w:rPr>
        <w:t xml:space="preserve">9.3Механизм реализации стратегии и мониторинг </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Система стратегического планирования развития </w:t>
      </w:r>
      <w:r w:rsidR="00D3682B">
        <w:rPr>
          <w:rFonts w:ascii="Times New Roman" w:hAnsi="Times New Roman" w:cs="Times New Roman"/>
          <w:sz w:val="28"/>
          <w:szCs w:val="28"/>
        </w:rPr>
        <w:t>м.р. Камышлинский</w:t>
      </w:r>
      <w:r w:rsidR="002760F1">
        <w:rPr>
          <w:rFonts w:ascii="Times New Roman" w:hAnsi="Times New Roman" w:cs="Times New Roman"/>
          <w:sz w:val="28"/>
          <w:szCs w:val="28"/>
        </w:rPr>
        <w:t xml:space="preserve"> </w:t>
      </w:r>
      <w:r w:rsidRPr="001F0139">
        <w:rPr>
          <w:rFonts w:ascii="Times New Roman" w:hAnsi="Times New Roman" w:cs="Times New Roman"/>
          <w:sz w:val="28"/>
          <w:szCs w:val="28"/>
        </w:rPr>
        <w:t xml:space="preserve">основывается на программно-целевых, проектных методах управления, методах территориального планирования, прогнозирования социально-экономического развития. </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Основными элементами механизма реализации Стратегии являются:</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нормативное правовое обеспечение; </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информационно-методическое обеспечение; </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организационно-управленческое обеспечение;</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финансовое обеспечение;</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мониторинг и контроль за ходом реализации документов стратегического планирования; </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обеспечение возможности корректировки документов стратегического планирования. </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9047D9">
        <w:rPr>
          <w:rFonts w:ascii="Times New Roman" w:hAnsi="Times New Roman" w:cs="Times New Roman"/>
          <w:b/>
          <w:sz w:val="28"/>
          <w:szCs w:val="28"/>
        </w:rPr>
        <w:t>Нормативное правовое обеспечение.</w:t>
      </w:r>
      <w:r w:rsidRPr="001F0139">
        <w:rPr>
          <w:rFonts w:ascii="Times New Roman" w:hAnsi="Times New Roman" w:cs="Times New Roman"/>
          <w:sz w:val="28"/>
          <w:szCs w:val="28"/>
        </w:rPr>
        <w:t xml:space="preserve"> Правовой блок механизма реализации Стратегии охватывает все необходимые сферы социально-экономического развития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включая систему стратегического планирования. Предусматривается как разработка новых, </w:t>
      </w:r>
      <w:r w:rsidRPr="001F0139">
        <w:rPr>
          <w:rFonts w:ascii="Times New Roman" w:hAnsi="Times New Roman" w:cs="Times New Roman"/>
          <w:sz w:val="28"/>
          <w:szCs w:val="28"/>
        </w:rPr>
        <w:lastRenderedPageBreak/>
        <w:t xml:space="preserve">так и изменение уже действующих нормативных правовых актов, направленных на обеспечение реализации Стратегии по всем направлениям деятельности государственного регулирования, в результате чего будет сформирована система нормативных правовых актов, регламентирующих реализацию Стратегии и способствующих повышению оперативности и качества управленческих решений, принимаемых исполнительными органами государственной власти и муниципального управления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В целях реализации Стратегии разрабатывается и утверждается план мероприятий по ее реализации. Для каждого мероприятия определяются цели, задачи, обеспечивающие достижение стратегических и целевых ориентиров, ответственные исполнители, объемы финансирования, сроки и этапы выполнения мероприятий - таким образом, реализуется принцип повышения скоординированности оперативных управленческих решений исполнительных органов государственной власти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по реализации Стратегии. При реализации Стратегии применяется программно-целевой метод управления в сочетании с проектным подходом. Важнейшим инструментом активного воздействия на комплексное развитие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будет являться реализация муниципальных и</w:t>
      </w:r>
      <w:r w:rsidR="002760F1">
        <w:rPr>
          <w:rFonts w:ascii="Times New Roman" w:hAnsi="Times New Roman" w:cs="Times New Roman"/>
          <w:sz w:val="28"/>
          <w:szCs w:val="28"/>
        </w:rPr>
        <w:t xml:space="preserve"> </w:t>
      </w:r>
      <w:r w:rsidRPr="001F0139">
        <w:rPr>
          <w:rFonts w:ascii="Times New Roman" w:hAnsi="Times New Roman" w:cs="Times New Roman"/>
          <w:sz w:val="28"/>
          <w:szCs w:val="28"/>
        </w:rPr>
        <w:t xml:space="preserve">государственных программ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Цели и задачи государственных программ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будут соответствовать приоритетам и целям региональной политики в соответствующих сферах социально-экономического развития </w:t>
      </w:r>
      <w:r w:rsidR="001F0139">
        <w:rPr>
          <w:rFonts w:ascii="Times New Roman" w:hAnsi="Times New Roman" w:cs="Times New Roman"/>
          <w:sz w:val="28"/>
          <w:szCs w:val="28"/>
        </w:rPr>
        <w:t>район</w:t>
      </w:r>
      <w:r w:rsidRPr="001F0139">
        <w:rPr>
          <w:rFonts w:ascii="Times New Roman" w:hAnsi="Times New Roman" w:cs="Times New Roman"/>
          <w:sz w:val="28"/>
          <w:szCs w:val="28"/>
        </w:rPr>
        <w:t xml:space="preserve">ского округа, указанным в Стратегии. В целях эффективной реализации Стратегии развития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будут внесены изменения в существующие муниципальные</w:t>
      </w:r>
      <w:r w:rsidR="002760F1">
        <w:rPr>
          <w:rFonts w:ascii="Times New Roman" w:hAnsi="Times New Roman" w:cs="Times New Roman"/>
          <w:sz w:val="28"/>
          <w:szCs w:val="28"/>
        </w:rPr>
        <w:t xml:space="preserve"> </w:t>
      </w:r>
      <w:r w:rsidRPr="001F0139">
        <w:rPr>
          <w:rFonts w:ascii="Times New Roman" w:hAnsi="Times New Roman" w:cs="Times New Roman"/>
          <w:sz w:val="28"/>
          <w:szCs w:val="28"/>
        </w:rPr>
        <w:t xml:space="preserve">программы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либо, при необходимости, разработаны новые в соответствии с целями и приоритетами развития </w:t>
      </w:r>
      <w:r w:rsidR="001F0139">
        <w:rPr>
          <w:rFonts w:ascii="Times New Roman" w:hAnsi="Times New Roman" w:cs="Times New Roman"/>
          <w:sz w:val="28"/>
          <w:szCs w:val="28"/>
        </w:rPr>
        <w:t>район</w:t>
      </w:r>
      <w:r w:rsidRPr="001F0139">
        <w:rPr>
          <w:rFonts w:ascii="Times New Roman" w:hAnsi="Times New Roman" w:cs="Times New Roman"/>
          <w:sz w:val="28"/>
          <w:szCs w:val="28"/>
        </w:rPr>
        <w:t>а. При этом приоритетные проекты соответствуют</w:t>
      </w:r>
      <w:r w:rsidR="002760F1">
        <w:rPr>
          <w:rFonts w:ascii="Times New Roman" w:hAnsi="Times New Roman" w:cs="Times New Roman"/>
          <w:sz w:val="28"/>
          <w:szCs w:val="28"/>
        </w:rPr>
        <w:t xml:space="preserve"> </w:t>
      </w:r>
      <w:r w:rsidRPr="001F0139">
        <w:rPr>
          <w:rFonts w:ascii="Times New Roman" w:hAnsi="Times New Roman" w:cs="Times New Roman"/>
          <w:sz w:val="28"/>
          <w:szCs w:val="28"/>
        </w:rPr>
        <w:t>государственны</w:t>
      </w:r>
      <w:r w:rsidR="009047D9">
        <w:rPr>
          <w:rFonts w:ascii="Times New Roman" w:hAnsi="Times New Roman" w:cs="Times New Roman"/>
          <w:sz w:val="28"/>
          <w:szCs w:val="28"/>
        </w:rPr>
        <w:t>м</w:t>
      </w:r>
      <w:r w:rsidRPr="001F0139">
        <w:rPr>
          <w:rFonts w:ascii="Times New Roman" w:hAnsi="Times New Roman" w:cs="Times New Roman"/>
          <w:sz w:val="28"/>
          <w:szCs w:val="28"/>
        </w:rPr>
        <w:t xml:space="preserve"> программ</w:t>
      </w:r>
      <w:r w:rsidR="009047D9">
        <w:rPr>
          <w:rFonts w:ascii="Times New Roman" w:hAnsi="Times New Roman" w:cs="Times New Roman"/>
          <w:sz w:val="28"/>
          <w:szCs w:val="28"/>
        </w:rPr>
        <w:t>ам</w:t>
      </w:r>
      <w:r w:rsidRPr="001F0139">
        <w:rPr>
          <w:rFonts w:ascii="Times New Roman" w:hAnsi="Times New Roman" w:cs="Times New Roman"/>
          <w:sz w:val="28"/>
          <w:szCs w:val="28"/>
        </w:rPr>
        <w:t xml:space="preserve"> Самарской области или муниципальным программам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Так, финансирование отдельных проектов будет осуществляться через государственные программы. Это позволит </w:t>
      </w:r>
      <w:r w:rsidRPr="001F0139">
        <w:rPr>
          <w:rFonts w:ascii="Times New Roman" w:hAnsi="Times New Roman" w:cs="Times New Roman"/>
          <w:sz w:val="28"/>
          <w:szCs w:val="28"/>
        </w:rPr>
        <w:lastRenderedPageBreak/>
        <w:t xml:space="preserve">оптимизировать распределение бюджетных ресурсов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и контролировать процесс достижения целевых характеристик развития определенных сфер. </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Условием успешной реализации Стратегии является высокий профессионализм </w:t>
      </w:r>
      <w:r w:rsidR="00C962D0">
        <w:rPr>
          <w:rFonts w:ascii="Times New Roman" w:hAnsi="Times New Roman" w:cs="Times New Roman"/>
          <w:sz w:val="28"/>
          <w:szCs w:val="28"/>
        </w:rPr>
        <w:t>муниципальных</w:t>
      </w:r>
      <w:r w:rsidRPr="001F0139">
        <w:rPr>
          <w:rFonts w:ascii="Times New Roman" w:hAnsi="Times New Roman" w:cs="Times New Roman"/>
          <w:sz w:val="28"/>
          <w:szCs w:val="28"/>
        </w:rPr>
        <w:t xml:space="preserve"> служащих. В связи с этим одним из мероприятий по повышению эффективности </w:t>
      </w:r>
      <w:r w:rsidR="00C962D0">
        <w:rPr>
          <w:rFonts w:ascii="Times New Roman" w:hAnsi="Times New Roman" w:cs="Times New Roman"/>
          <w:sz w:val="28"/>
          <w:szCs w:val="28"/>
        </w:rPr>
        <w:t>муниципального</w:t>
      </w:r>
      <w:r w:rsidRPr="001F0139">
        <w:rPr>
          <w:rFonts w:ascii="Times New Roman" w:hAnsi="Times New Roman" w:cs="Times New Roman"/>
          <w:sz w:val="28"/>
          <w:szCs w:val="28"/>
        </w:rPr>
        <w:t xml:space="preserve"> управления р</w:t>
      </w:r>
      <w:r w:rsidR="00C962D0">
        <w:rPr>
          <w:rFonts w:ascii="Times New Roman" w:hAnsi="Times New Roman" w:cs="Times New Roman"/>
          <w:sz w:val="28"/>
          <w:szCs w:val="28"/>
        </w:rPr>
        <w:t>айон</w:t>
      </w:r>
      <w:r w:rsidRPr="001F0139">
        <w:rPr>
          <w:rFonts w:ascii="Times New Roman" w:hAnsi="Times New Roman" w:cs="Times New Roman"/>
          <w:sz w:val="28"/>
          <w:szCs w:val="28"/>
        </w:rPr>
        <w:t>ом является внедрение современных инструментов кадровой политики, отвечающих задачам развития, закрепленным в Стратегии.</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В частности, необходимо развивать систему мотивации и привлечения высококвалифицированных специалистов на </w:t>
      </w:r>
      <w:r w:rsidR="00C962D0">
        <w:rPr>
          <w:rFonts w:ascii="Times New Roman" w:hAnsi="Times New Roman" w:cs="Times New Roman"/>
          <w:sz w:val="28"/>
          <w:szCs w:val="28"/>
        </w:rPr>
        <w:t>муниципальную</w:t>
      </w:r>
      <w:r w:rsidRPr="001F0139">
        <w:rPr>
          <w:rFonts w:ascii="Times New Roman" w:hAnsi="Times New Roman" w:cs="Times New Roman"/>
          <w:sz w:val="28"/>
          <w:szCs w:val="28"/>
        </w:rPr>
        <w:t xml:space="preserve"> службу. В целях повышения эффективности </w:t>
      </w:r>
      <w:r w:rsidR="00C962D0">
        <w:rPr>
          <w:rFonts w:ascii="Times New Roman" w:hAnsi="Times New Roman" w:cs="Times New Roman"/>
          <w:sz w:val="28"/>
          <w:szCs w:val="28"/>
        </w:rPr>
        <w:t>муниципального</w:t>
      </w:r>
      <w:r w:rsidRPr="001F0139">
        <w:rPr>
          <w:rFonts w:ascii="Times New Roman" w:hAnsi="Times New Roman" w:cs="Times New Roman"/>
          <w:sz w:val="28"/>
          <w:szCs w:val="28"/>
        </w:rPr>
        <w:t xml:space="preserve"> управления должна быть решена задача по вовлечению в процесс управления развитием </w:t>
      </w:r>
      <w:r w:rsidR="00C962D0">
        <w:rPr>
          <w:rFonts w:ascii="Times New Roman" w:hAnsi="Times New Roman" w:cs="Times New Roman"/>
          <w:sz w:val="28"/>
          <w:szCs w:val="28"/>
        </w:rPr>
        <w:t>района</w:t>
      </w:r>
      <w:r w:rsidRPr="001F0139">
        <w:rPr>
          <w:rFonts w:ascii="Times New Roman" w:hAnsi="Times New Roman" w:cs="Times New Roman"/>
          <w:sz w:val="28"/>
          <w:szCs w:val="28"/>
        </w:rPr>
        <w:t xml:space="preserve"> широкого круга заинтересованных участников. Для этого предусмотрена реализация следующих мероприятий: переход от прямого субсидирования к организационным формам поддержки. Возможными формами поддержки могут выступать: </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1.введение режима наибольшего благоприятствования инвесторам, снижение административных барьеров, предоставление широкого перечня государственных услуг, в том числе в электронном виде, расширение кооперации, создание и развитие кластеров;</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2. расширение участия граждан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в управлении р</w:t>
      </w:r>
      <w:r w:rsidR="00C962D0">
        <w:rPr>
          <w:rFonts w:ascii="Times New Roman" w:hAnsi="Times New Roman" w:cs="Times New Roman"/>
          <w:sz w:val="28"/>
          <w:szCs w:val="28"/>
        </w:rPr>
        <w:t>ай</w:t>
      </w:r>
      <w:r w:rsidRPr="001F0139">
        <w:rPr>
          <w:rFonts w:ascii="Times New Roman" w:hAnsi="Times New Roman" w:cs="Times New Roman"/>
          <w:sz w:val="28"/>
          <w:szCs w:val="28"/>
        </w:rPr>
        <w:t xml:space="preserve">оном (опросы населения, общественные советы, институт гражданской законодательной инициативы, молодежные объединения, политические партии и пр.); </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3.развитие института государственно-частного и муниципально-частного партнерства; расширение использования информационных технологий для коммуникаций с гражданами, бизнесом, федеральными и муниципальными органами власти; </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lastRenderedPageBreak/>
        <w:t>4.взаимодействие с отраслевыми ассоциациями и институтами развития, естественными монополиями и государственными корпорациями, в том числе для участия в федеральных проектах;</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 5.подготовка обращений с инициативами в федеральные органы государственной власти по вопросам реализации Стратегии. </w:t>
      </w:r>
    </w:p>
    <w:p w:rsidR="009047D9" w:rsidRDefault="00443650" w:rsidP="001F0139">
      <w:pPr>
        <w:spacing w:after="0" w:line="360" w:lineRule="auto"/>
        <w:ind w:firstLine="709"/>
        <w:jc w:val="both"/>
        <w:rPr>
          <w:rFonts w:ascii="Times New Roman" w:hAnsi="Times New Roman" w:cs="Times New Roman"/>
          <w:sz w:val="28"/>
          <w:szCs w:val="28"/>
        </w:rPr>
      </w:pPr>
      <w:r w:rsidRPr="009047D9">
        <w:rPr>
          <w:rFonts w:ascii="Times New Roman" w:hAnsi="Times New Roman" w:cs="Times New Roman"/>
          <w:b/>
          <w:sz w:val="28"/>
          <w:szCs w:val="28"/>
        </w:rPr>
        <w:t>Информационно-методическое обеспечение</w:t>
      </w:r>
      <w:r w:rsidRPr="001F0139">
        <w:rPr>
          <w:rFonts w:ascii="Times New Roman" w:hAnsi="Times New Roman" w:cs="Times New Roman"/>
          <w:sz w:val="28"/>
          <w:szCs w:val="28"/>
        </w:rPr>
        <w:t>. Участники стратегического планирования в процессе реализации Стратегии должны быть обеспечены актуальной, достоверной и достаточной информацией, методической поддержкой для подготовки и принятия управленческих решений, в связи с чем необходимым является ее всестороннее публичное обсуждение и информирование деловых кругов и общественности: о целях, задачах и приоритетных направлениях Стратегии, и механизмах их достижения; о решениях и действиях, принимаемых субъектами экономической деятельности для реализации Стратегии; о ходе и результатах реализации Стратегии и степени эффективности принимаемых решений.</w:t>
      </w:r>
    </w:p>
    <w:p w:rsidR="00C4773F" w:rsidRDefault="00C4773F" w:rsidP="00C4773F">
      <w:pPr>
        <w:spacing w:after="0" w:line="360" w:lineRule="auto"/>
        <w:ind w:firstLine="709"/>
        <w:jc w:val="both"/>
        <w:rPr>
          <w:rFonts w:ascii="Times New Roman" w:hAnsi="Times New Roman" w:cs="Times New Roman"/>
          <w:sz w:val="28"/>
          <w:szCs w:val="28"/>
        </w:rPr>
      </w:pPr>
      <w:r w:rsidRPr="00C4773F">
        <w:rPr>
          <w:rFonts w:ascii="Times New Roman" w:hAnsi="Times New Roman" w:cs="Times New Roman"/>
          <w:b/>
          <w:sz w:val="28"/>
          <w:szCs w:val="28"/>
        </w:rPr>
        <w:t>Организационно-управленческий механизм</w:t>
      </w:r>
      <w:r>
        <w:rPr>
          <w:rFonts w:ascii="Times New Roman" w:hAnsi="Times New Roman" w:cs="Times New Roman"/>
          <w:sz w:val="28"/>
          <w:szCs w:val="28"/>
        </w:rPr>
        <w:t xml:space="preserve"> обеспечивает достижение целей и решение задач, установленных Стратегией, реализуется на основе положений о разработке, корректировке, мониторинге и контроле реализации Стратегии и плана мероприятий реализации Стратегии. </w:t>
      </w:r>
    </w:p>
    <w:p w:rsidR="00C4773F" w:rsidRDefault="00C4773F" w:rsidP="00C4773F">
      <w:pPr>
        <w:pStyle w:val="ConsPlusNormal0"/>
        <w:widowControl/>
        <w:tabs>
          <w:tab w:val="left" w:pos="99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управления процессом реализации Стратегии предполагает эффективное взаимодействие органов областной власти и администрации м.р.Камышлинский, населения, предпринимательского сообщества, общественных организаций и экспертного сообщества. Важнейшей задачей является распределение функций управления процессом реализации Стратегии между органами местного самоуправления.</w:t>
      </w:r>
    </w:p>
    <w:p w:rsidR="009047D9" w:rsidRDefault="00443650" w:rsidP="001F0139">
      <w:pPr>
        <w:spacing w:after="0" w:line="360" w:lineRule="auto"/>
        <w:ind w:firstLine="709"/>
        <w:jc w:val="both"/>
        <w:rPr>
          <w:rFonts w:ascii="Times New Roman" w:hAnsi="Times New Roman" w:cs="Times New Roman"/>
          <w:sz w:val="28"/>
          <w:szCs w:val="28"/>
        </w:rPr>
      </w:pPr>
      <w:r w:rsidRPr="009047D9">
        <w:rPr>
          <w:rFonts w:ascii="Times New Roman" w:hAnsi="Times New Roman" w:cs="Times New Roman"/>
          <w:b/>
          <w:sz w:val="28"/>
          <w:szCs w:val="28"/>
        </w:rPr>
        <w:t>Финансовое обеспечение</w:t>
      </w:r>
      <w:r w:rsidRPr="001F0139">
        <w:rPr>
          <w:rFonts w:ascii="Times New Roman" w:hAnsi="Times New Roman" w:cs="Times New Roman"/>
          <w:sz w:val="28"/>
          <w:szCs w:val="28"/>
        </w:rPr>
        <w:t xml:space="preserve">. Успешная реализация настоящей Стратегии невозможна без наличия соответствующих финансово-инвестиционных ресурсов. Практическое достижение намеченных целей возможно при эффективном использовании финансового блока инструментов реализации Стратегии, направленных на концентрацию финансовых ресурсов на </w:t>
      </w:r>
      <w:r w:rsidRPr="001F0139">
        <w:rPr>
          <w:rFonts w:ascii="Times New Roman" w:hAnsi="Times New Roman" w:cs="Times New Roman"/>
          <w:sz w:val="28"/>
          <w:szCs w:val="28"/>
        </w:rPr>
        <w:lastRenderedPageBreak/>
        <w:t xml:space="preserve">приоритетных направлениях развития, нацеленность на результат. Финансовая база будет определяться денежными средствами консолидированного бюджета, государственных внебюджетных фондов, предприятий, организаций и населения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а также состоянием и развитием банковской системы. Важную роль в социально-экономическом развитии региона будут играть привлекаемые финансовые ресурсы инвесторов. </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Механизм реализации Стратегии предполагает наличие действенной системы </w:t>
      </w:r>
      <w:r w:rsidRPr="009047D9">
        <w:rPr>
          <w:rFonts w:ascii="Times New Roman" w:hAnsi="Times New Roman" w:cs="Times New Roman"/>
          <w:b/>
          <w:sz w:val="28"/>
          <w:szCs w:val="28"/>
        </w:rPr>
        <w:t>мониторинга и контроля</w:t>
      </w:r>
      <w:r w:rsidRPr="001F0139">
        <w:rPr>
          <w:rFonts w:ascii="Times New Roman" w:hAnsi="Times New Roman" w:cs="Times New Roman"/>
          <w:sz w:val="28"/>
          <w:szCs w:val="28"/>
        </w:rPr>
        <w:t xml:space="preserve">, осуществляемых на основе комплексного анализа достижения целевых показателей и ориентиров социально-экономического развития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степени выполнения запланированных мероприятий. Мониторинг даст возможность сверять реальные результаты с предусмотренными и при необходимости уточнять траекторию развития </w:t>
      </w:r>
      <w:r w:rsidR="001F0139">
        <w:rPr>
          <w:rFonts w:ascii="Times New Roman" w:hAnsi="Times New Roman" w:cs="Times New Roman"/>
          <w:sz w:val="28"/>
          <w:szCs w:val="28"/>
        </w:rPr>
        <w:t>район</w:t>
      </w:r>
      <w:r w:rsidRPr="001F0139">
        <w:rPr>
          <w:rFonts w:ascii="Times New Roman" w:hAnsi="Times New Roman" w:cs="Times New Roman"/>
          <w:sz w:val="28"/>
          <w:szCs w:val="28"/>
        </w:rPr>
        <w:t xml:space="preserve">а. Мониторинг реализации Стратегии осуществляется на основе оценки достижения целей Стратегии и выполнения плана мероприятий по реализации Стратегии. </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Документами, в которых отражаются результаты мониторинга реализации Стратегии, являются: </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1) ежегодный отчет Главы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2) сводный годовой доклад о ходе реализации и об оценке эффективности муниципальных программ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Собрание представителей</w:t>
      </w:r>
      <w:r w:rsidR="002760F1">
        <w:rPr>
          <w:rFonts w:ascii="Times New Roman" w:hAnsi="Times New Roman" w:cs="Times New Roman"/>
          <w:sz w:val="28"/>
          <w:szCs w:val="28"/>
        </w:rPr>
        <w:t xml:space="preserve"> </w:t>
      </w:r>
      <w:r w:rsidR="00D3682B">
        <w:rPr>
          <w:rFonts w:ascii="Times New Roman" w:hAnsi="Times New Roman" w:cs="Times New Roman"/>
          <w:sz w:val="28"/>
          <w:szCs w:val="28"/>
        </w:rPr>
        <w:t>м.р. Камышлинский</w:t>
      </w:r>
      <w:r w:rsidRPr="001F0139">
        <w:rPr>
          <w:rFonts w:ascii="Times New Roman" w:hAnsi="Times New Roman" w:cs="Times New Roman"/>
          <w:sz w:val="28"/>
          <w:szCs w:val="28"/>
        </w:rPr>
        <w:t xml:space="preserve"> обеспечивает контроль за реализацией Стратегии, за соответствием муниципальных программ целям, задачам и приоритетам Стратегии.</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Основные направления действий по реализации Стратегии и приоритетные стратегические проекты будут детализированы в плане мероприятий с указанием ответственных исполнителей и ожидаемых результатов реализации. На основе плана мероприятий будут внесены изменения в существующие муниципальные программы или разработаны </w:t>
      </w:r>
      <w:r w:rsidRPr="001F0139">
        <w:rPr>
          <w:rFonts w:ascii="Times New Roman" w:hAnsi="Times New Roman" w:cs="Times New Roman"/>
          <w:sz w:val="28"/>
          <w:szCs w:val="28"/>
        </w:rPr>
        <w:lastRenderedPageBreak/>
        <w:t>новые муниципальные программы, в которых будут определены конкретные мероприятия с указанием объемов и источников финансирования.</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Основным механизмом реализации Стратегии станет контроль реализации Плана мероприятий и муниципальных программ. При этом должны быть обеспечены взаимосвязь и регулярное скоординированное обновление Стратегии, плана мероприятий и муниципальных программ. </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Правовое обеспечение будет осуществляться с учетом изменений федерального и регионального законодательства в области экономического и социального развития.</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Проекты и мероприятия, реализуемые в рамках данной Стратегии, предполагающие финансирование из федерального бюджета, бюджета Самарской области, местного бюджета, будут уточняться, корректироваться и согласовываться в установленном порядке с учетом возможностей бюджетов на соответствующий финансовый год и плановый период.</w:t>
      </w:r>
    </w:p>
    <w:p w:rsidR="00443650" w:rsidRPr="001F0139" w:rsidRDefault="00443650" w:rsidP="001F0139">
      <w:pPr>
        <w:spacing w:after="0" w:line="360" w:lineRule="auto"/>
        <w:ind w:firstLine="709"/>
        <w:jc w:val="both"/>
        <w:rPr>
          <w:rFonts w:ascii="Times New Roman" w:hAnsi="Times New Roman" w:cs="Times New Roman"/>
          <w:sz w:val="28"/>
          <w:szCs w:val="28"/>
        </w:rPr>
      </w:pPr>
      <w:r w:rsidRPr="001F0139">
        <w:rPr>
          <w:rFonts w:ascii="Times New Roman" w:hAnsi="Times New Roman" w:cs="Times New Roman"/>
          <w:sz w:val="28"/>
          <w:szCs w:val="28"/>
        </w:rPr>
        <w:t xml:space="preserve">Ежегодный отчет о реализации Стратегии подлежит официальному опубликованию на официальном портале органов местного самоуправления </w:t>
      </w:r>
      <w:r w:rsidR="00D3682B">
        <w:rPr>
          <w:rFonts w:ascii="Times New Roman" w:hAnsi="Times New Roman" w:cs="Times New Roman"/>
          <w:sz w:val="28"/>
          <w:szCs w:val="28"/>
        </w:rPr>
        <w:t>м.р. Камышлинский</w:t>
      </w:r>
      <w:r w:rsidR="009047D9">
        <w:rPr>
          <w:rFonts w:ascii="Times New Roman" w:hAnsi="Times New Roman" w:cs="Times New Roman"/>
          <w:sz w:val="28"/>
          <w:szCs w:val="28"/>
        </w:rPr>
        <w:t>.</w:t>
      </w:r>
    </w:p>
    <w:p w:rsidR="00337AC4" w:rsidRPr="001F0139" w:rsidRDefault="00337AC4"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CB5772" w:rsidRPr="001F0139" w:rsidRDefault="00CB5772" w:rsidP="001F0139">
      <w:pPr>
        <w:spacing w:after="0" w:line="360" w:lineRule="auto"/>
        <w:contextualSpacing/>
        <w:jc w:val="both"/>
        <w:outlineLvl w:val="1"/>
        <w:rPr>
          <w:rFonts w:ascii="Times New Roman" w:hAnsi="Times New Roman" w:cs="Times New Roman"/>
          <w:b/>
          <w:color w:val="365F91" w:themeColor="accent1" w:themeShade="BF"/>
          <w:sz w:val="28"/>
          <w:szCs w:val="28"/>
        </w:rPr>
      </w:pPr>
    </w:p>
    <w:p w:rsidR="00E74438" w:rsidRPr="001F0139" w:rsidRDefault="00E7443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E74438" w:rsidRPr="001F0139" w:rsidRDefault="00E74438" w:rsidP="001F0139">
      <w:pPr>
        <w:pStyle w:val="a3"/>
        <w:spacing w:after="0" w:line="360" w:lineRule="auto"/>
        <w:ind w:left="0" w:firstLine="709"/>
        <w:jc w:val="both"/>
        <w:rPr>
          <w:rFonts w:ascii="Times New Roman" w:hAnsi="Times New Roman" w:cs="Times New Roman"/>
          <w:b/>
          <w:color w:val="365F91" w:themeColor="accent1" w:themeShade="BF"/>
          <w:sz w:val="28"/>
          <w:szCs w:val="28"/>
        </w:rPr>
      </w:pPr>
    </w:p>
    <w:p w:rsidR="00A34308" w:rsidRPr="001F0139" w:rsidRDefault="00A34308" w:rsidP="001F0139">
      <w:pPr>
        <w:pStyle w:val="a3"/>
        <w:spacing w:after="0" w:line="360" w:lineRule="auto"/>
        <w:ind w:left="0"/>
        <w:jc w:val="both"/>
        <w:rPr>
          <w:rFonts w:ascii="Times New Roman" w:hAnsi="Times New Roman" w:cs="Times New Roman"/>
          <w:b/>
          <w:color w:val="365F91" w:themeColor="accent1" w:themeShade="BF"/>
          <w:sz w:val="28"/>
          <w:szCs w:val="28"/>
        </w:rPr>
      </w:pPr>
    </w:p>
    <w:p w:rsidR="00D14EDE" w:rsidRPr="001F0139" w:rsidRDefault="00D14EDE" w:rsidP="001F0139">
      <w:pPr>
        <w:pStyle w:val="10"/>
        <w:keepNext/>
        <w:keepLines/>
        <w:shd w:val="clear" w:color="auto" w:fill="auto"/>
        <w:spacing w:after="0" w:line="360" w:lineRule="auto"/>
        <w:ind w:firstLine="0"/>
        <w:rPr>
          <w:color w:val="365F91" w:themeColor="accent1" w:themeShade="BF"/>
        </w:rPr>
      </w:pPr>
    </w:p>
    <w:p w:rsidR="00D14EDE" w:rsidRPr="001F0139" w:rsidRDefault="00D14EDE" w:rsidP="001F0139">
      <w:pPr>
        <w:pStyle w:val="10"/>
        <w:keepNext/>
        <w:keepLines/>
        <w:shd w:val="clear" w:color="auto" w:fill="auto"/>
        <w:spacing w:after="0" w:line="360" w:lineRule="auto"/>
        <w:ind w:firstLine="0"/>
      </w:pPr>
    </w:p>
    <w:p w:rsidR="00E74438" w:rsidRPr="001F0139" w:rsidRDefault="00E74438" w:rsidP="001F0139">
      <w:pPr>
        <w:pStyle w:val="10"/>
        <w:keepNext/>
        <w:keepLines/>
        <w:shd w:val="clear" w:color="auto" w:fill="auto"/>
        <w:spacing w:after="0" w:line="360" w:lineRule="auto"/>
        <w:ind w:firstLine="0"/>
      </w:pPr>
    </w:p>
    <w:p w:rsidR="00E74438" w:rsidRPr="001F0139" w:rsidRDefault="00E74438" w:rsidP="001F0139">
      <w:pPr>
        <w:pStyle w:val="10"/>
        <w:keepNext/>
        <w:keepLines/>
        <w:shd w:val="clear" w:color="auto" w:fill="auto"/>
        <w:spacing w:after="0" w:line="360" w:lineRule="auto"/>
        <w:ind w:firstLine="0"/>
      </w:pPr>
    </w:p>
    <w:p w:rsidR="00E74438" w:rsidRPr="001F0139" w:rsidRDefault="00E74438" w:rsidP="001F0139">
      <w:pPr>
        <w:pStyle w:val="10"/>
        <w:keepNext/>
        <w:keepLines/>
        <w:shd w:val="clear" w:color="auto" w:fill="auto"/>
        <w:spacing w:after="0" w:line="360" w:lineRule="auto"/>
        <w:ind w:firstLine="0"/>
      </w:pPr>
    </w:p>
    <w:sectPr w:rsidR="00E74438" w:rsidRPr="001F0139" w:rsidSect="00BC5C1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Полужирный">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62C3"/>
    <w:multiLevelType w:val="hybridMultilevel"/>
    <w:tmpl w:val="1B642052"/>
    <w:lvl w:ilvl="0" w:tplc="3920E392">
      <w:start w:val="1"/>
      <w:numFmt w:val="decimal"/>
      <w:lvlText w:val="%1."/>
      <w:lvlJc w:val="left"/>
      <w:pPr>
        <w:tabs>
          <w:tab w:val="num" w:pos="720"/>
        </w:tabs>
        <w:ind w:left="720" w:hanging="360"/>
      </w:pPr>
    </w:lvl>
    <w:lvl w:ilvl="1" w:tplc="1F102CC0" w:tentative="1">
      <w:start w:val="1"/>
      <w:numFmt w:val="decimal"/>
      <w:lvlText w:val="%2."/>
      <w:lvlJc w:val="left"/>
      <w:pPr>
        <w:tabs>
          <w:tab w:val="num" w:pos="1440"/>
        </w:tabs>
        <w:ind w:left="1440" w:hanging="360"/>
      </w:pPr>
    </w:lvl>
    <w:lvl w:ilvl="2" w:tplc="29A4F3D4" w:tentative="1">
      <w:start w:val="1"/>
      <w:numFmt w:val="decimal"/>
      <w:lvlText w:val="%3."/>
      <w:lvlJc w:val="left"/>
      <w:pPr>
        <w:tabs>
          <w:tab w:val="num" w:pos="2160"/>
        </w:tabs>
        <w:ind w:left="2160" w:hanging="360"/>
      </w:pPr>
    </w:lvl>
    <w:lvl w:ilvl="3" w:tplc="AE98B0FA" w:tentative="1">
      <w:start w:val="1"/>
      <w:numFmt w:val="decimal"/>
      <w:lvlText w:val="%4."/>
      <w:lvlJc w:val="left"/>
      <w:pPr>
        <w:tabs>
          <w:tab w:val="num" w:pos="2880"/>
        </w:tabs>
        <w:ind w:left="2880" w:hanging="360"/>
      </w:pPr>
    </w:lvl>
    <w:lvl w:ilvl="4" w:tplc="FA369AE2" w:tentative="1">
      <w:start w:val="1"/>
      <w:numFmt w:val="decimal"/>
      <w:lvlText w:val="%5."/>
      <w:lvlJc w:val="left"/>
      <w:pPr>
        <w:tabs>
          <w:tab w:val="num" w:pos="3600"/>
        </w:tabs>
        <w:ind w:left="3600" w:hanging="360"/>
      </w:pPr>
    </w:lvl>
    <w:lvl w:ilvl="5" w:tplc="6E505F3E" w:tentative="1">
      <w:start w:val="1"/>
      <w:numFmt w:val="decimal"/>
      <w:lvlText w:val="%6."/>
      <w:lvlJc w:val="left"/>
      <w:pPr>
        <w:tabs>
          <w:tab w:val="num" w:pos="4320"/>
        </w:tabs>
        <w:ind w:left="4320" w:hanging="360"/>
      </w:pPr>
    </w:lvl>
    <w:lvl w:ilvl="6" w:tplc="52DAC75E">
      <w:start w:val="1"/>
      <w:numFmt w:val="decimal"/>
      <w:lvlText w:val="%7."/>
      <w:lvlJc w:val="left"/>
      <w:pPr>
        <w:tabs>
          <w:tab w:val="num" w:pos="360"/>
        </w:tabs>
        <w:ind w:left="360" w:hanging="360"/>
      </w:pPr>
    </w:lvl>
    <w:lvl w:ilvl="7" w:tplc="16D0A22E" w:tentative="1">
      <w:start w:val="1"/>
      <w:numFmt w:val="decimal"/>
      <w:lvlText w:val="%8."/>
      <w:lvlJc w:val="left"/>
      <w:pPr>
        <w:tabs>
          <w:tab w:val="num" w:pos="5760"/>
        </w:tabs>
        <w:ind w:left="5760" w:hanging="360"/>
      </w:pPr>
    </w:lvl>
    <w:lvl w:ilvl="8" w:tplc="3356C36A" w:tentative="1">
      <w:start w:val="1"/>
      <w:numFmt w:val="decimal"/>
      <w:lvlText w:val="%9."/>
      <w:lvlJc w:val="left"/>
      <w:pPr>
        <w:tabs>
          <w:tab w:val="num" w:pos="6480"/>
        </w:tabs>
        <w:ind w:left="6480" w:hanging="360"/>
      </w:pPr>
    </w:lvl>
  </w:abstractNum>
  <w:abstractNum w:abstractNumId="1">
    <w:nsid w:val="04641F68"/>
    <w:multiLevelType w:val="multilevel"/>
    <w:tmpl w:val="1D48A4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FB469B"/>
    <w:multiLevelType w:val="hybridMultilevel"/>
    <w:tmpl w:val="EDFA39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81831ED"/>
    <w:multiLevelType w:val="multilevel"/>
    <w:tmpl w:val="0C78CE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C64B41"/>
    <w:multiLevelType w:val="multilevel"/>
    <w:tmpl w:val="6FAE0264"/>
    <w:lvl w:ilvl="0">
      <w:start w:val="5"/>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b w:val="0"/>
      </w:rPr>
    </w:lvl>
    <w:lvl w:ilvl="4">
      <w:start w:val="1"/>
      <w:numFmt w:val="decimal"/>
      <w:lvlText w:val="%1.%2.%3.%4.%5"/>
      <w:lvlJc w:val="left"/>
      <w:pPr>
        <w:ind w:left="4680" w:hanging="1080"/>
      </w:pPr>
      <w:rPr>
        <w:rFonts w:hint="default"/>
        <w:b w:val="0"/>
      </w:rPr>
    </w:lvl>
    <w:lvl w:ilvl="5">
      <w:start w:val="1"/>
      <w:numFmt w:val="decimal"/>
      <w:lvlText w:val="%1.%2.%3.%4.%5.%6"/>
      <w:lvlJc w:val="left"/>
      <w:pPr>
        <w:ind w:left="5940" w:hanging="1440"/>
      </w:pPr>
      <w:rPr>
        <w:rFonts w:hint="default"/>
        <w:b w:val="0"/>
      </w:rPr>
    </w:lvl>
    <w:lvl w:ilvl="6">
      <w:start w:val="1"/>
      <w:numFmt w:val="decimal"/>
      <w:lvlText w:val="%1.%2.%3.%4.%5.%6.%7"/>
      <w:lvlJc w:val="left"/>
      <w:pPr>
        <w:ind w:left="6840" w:hanging="1440"/>
      </w:pPr>
      <w:rPr>
        <w:rFonts w:hint="default"/>
        <w:b w:val="0"/>
      </w:rPr>
    </w:lvl>
    <w:lvl w:ilvl="7">
      <w:start w:val="1"/>
      <w:numFmt w:val="decimal"/>
      <w:lvlText w:val="%1.%2.%3.%4.%5.%6.%7.%8"/>
      <w:lvlJc w:val="left"/>
      <w:pPr>
        <w:ind w:left="8100" w:hanging="1800"/>
      </w:pPr>
      <w:rPr>
        <w:rFonts w:hint="default"/>
        <w:b w:val="0"/>
      </w:rPr>
    </w:lvl>
    <w:lvl w:ilvl="8">
      <w:start w:val="1"/>
      <w:numFmt w:val="decimal"/>
      <w:lvlText w:val="%1.%2.%3.%4.%5.%6.%7.%8.%9"/>
      <w:lvlJc w:val="left"/>
      <w:pPr>
        <w:ind w:left="9360" w:hanging="2160"/>
      </w:pPr>
      <w:rPr>
        <w:rFonts w:hint="default"/>
        <w:b w:val="0"/>
      </w:rPr>
    </w:lvl>
  </w:abstractNum>
  <w:abstractNum w:abstractNumId="5">
    <w:nsid w:val="0B3D427C"/>
    <w:multiLevelType w:val="hybridMultilevel"/>
    <w:tmpl w:val="44A61980"/>
    <w:lvl w:ilvl="0" w:tplc="572ED8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BCC52F4"/>
    <w:multiLevelType w:val="hybridMultilevel"/>
    <w:tmpl w:val="8EA27570"/>
    <w:lvl w:ilvl="0" w:tplc="1F1CE58A">
      <w:start w:val="1"/>
      <w:numFmt w:val="decimal"/>
      <w:lvlText w:val="%1."/>
      <w:lvlJc w:val="left"/>
      <w:pPr>
        <w:ind w:left="1729" w:hanging="102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7">
    <w:nsid w:val="0DC45136"/>
    <w:multiLevelType w:val="hybridMultilevel"/>
    <w:tmpl w:val="44A61980"/>
    <w:lvl w:ilvl="0" w:tplc="572ED8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F2827F0"/>
    <w:multiLevelType w:val="hybridMultilevel"/>
    <w:tmpl w:val="D0387A22"/>
    <w:lvl w:ilvl="0" w:tplc="F86868C0">
      <w:start w:val="1"/>
      <w:numFmt w:val="decimal"/>
      <w:lvlText w:val="%1."/>
      <w:lvlJc w:val="left"/>
      <w:pPr>
        <w:tabs>
          <w:tab w:val="num" w:pos="720"/>
        </w:tabs>
        <w:ind w:left="720" w:hanging="360"/>
      </w:pPr>
    </w:lvl>
    <w:lvl w:ilvl="1" w:tplc="2342F4B6" w:tentative="1">
      <w:start w:val="1"/>
      <w:numFmt w:val="decimal"/>
      <w:lvlText w:val="%2."/>
      <w:lvlJc w:val="left"/>
      <w:pPr>
        <w:tabs>
          <w:tab w:val="num" w:pos="1440"/>
        </w:tabs>
        <w:ind w:left="1440" w:hanging="360"/>
      </w:pPr>
    </w:lvl>
    <w:lvl w:ilvl="2" w:tplc="8FF2B6A6" w:tentative="1">
      <w:start w:val="1"/>
      <w:numFmt w:val="decimal"/>
      <w:lvlText w:val="%3."/>
      <w:lvlJc w:val="left"/>
      <w:pPr>
        <w:tabs>
          <w:tab w:val="num" w:pos="2160"/>
        </w:tabs>
        <w:ind w:left="2160" w:hanging="360"/>
      </w:pPr>
    </w:lvl>
    <w:lvl w:ilvl="3" w:tplc="6DC459C6" w:tentative="1">
      <w:start w:val="1"/>
      <w:numFmt w:val="decimal"/>
      <w:lvlText w:val="%4."/>
      <w:lvlJc w:val="left"/>
      <w:pPr>
        <w:tabs>
          <w:tab w:val="num" w:pos="2880"/>
        </w:tabs>
        <w:ind w:left="2880" w:hanging="360"/>
      </w:pPr>
    </w:lvl>
    <w:lvl w:ilvl="4" w:tplc="70BEC8BA" w:tentative="1">
      <w:start w:val="1"/>
      <w:numFmt w:val="decimal"/>
      <w:lvlText w:val="%5."/>
      <w:lvlJc w:val="left"/>
      <w:pPr>
        <w:tabs>
          <w:tab w:val="num" w:pos="3600"/>
        </w:tabs>
        <w:ind w:left="3600" w:hanging="360"/>
      </w:pPr>
    </w:lvl>
    <w:lvl w:ilvl="5" w:tplc="2BBEA320" w:tentative="1">
      <w:start w:val="1"/>
      <w:numFmt w:val="decimal"/>
      <w:lvlText w:val="%6."/>
      <w:lvlJc w:val="left"/>
      <w:pPr>
        <w:tabs>
          <w:tab w:val="num" w:pos="4320"/>
        </w:tabs>
        <w:ind w:left="4320" w:hanging="360"/>
      </w:pPr>
    </w:lvl>
    <w:lvl w:ilvl="6" w:tplc="879022EC">
      <w:start w:val="1"/>
      <w:numFmt w:val="decimal"/>
      <w:lvlText w:val="%7."/>
      <w:lvlJc w:val="left"/>
      <w:pPr>
        <w:tabs>
          <w:tab w:val="num" w:pos="5040"/>
        </w:tabs>
        <w:ind w:left="5040" w:hanging="360"/>
      </w:pPr>
    </w:lvl>
    <w:lvl w:ilvl="7" w:tplc="1250057C" w:tentative="1">
      <w:start w:val="1"/>
      <w:numFmt w:val="decimal"/>
      <w:lvlText w:val="%8."/>
      <w:lvlJc w:val="left"/>
      <w:pPr>
        <w:tabs>
          <w:tab w:val="num" w:pos="5760"/>
        </w:tabs>
        <w:ind w:left="5760" w:hanging="360"/>
      </w:pPr>
    </w:lvl>
    <w:lvl w:ilvl="8" w:tplc="D0FCF3F0" w:tentative="1">
      <w:start w:val="1"/>
      <w:numFmt w:val="decimal"/>
      <w:lvlText w:val="%9."/>
      <w:lvlJc w:val="left"/>
      <w:pPr>
        <w:tabs>
          <w:tab w:val="num" w:pos="6480"/>
        </w:tabs>
        <w:ind w:left="6480" w:hanging="360"/>
      </w:pPr>
    </w:lvl>
  </w:abstractNum>
  <w:abstractNum w:abstractNumId="9">
    <w:nsid w:val="11E53791"/>
    <w:multiLevelType w:val="hybridMultilevel"/>
    <w:tmpl w:val="F76445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5F0B66"/>
    <w:multiLevelType w:val="hybridMultilevel"/>
    <w:tmpl w:val="0A5CE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534838"/>
    <w:multiLevelType w:val="hybridMultilevel"/>
    <w:tmpl w:val="B69062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CB751AF"/>
    <w:multiLevelType w:val="hybridMultilevel"/>
    <w:tmpl w:val="A34895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027383B"/>
    <w:multiLevelType w:val="multilevel"/>
    <w:tmpl w:val="EDB83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A96CCE"/>
    <w:multiLevelType w:val="multilevel"/>
    <w:tmpl w:val="DE9209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317E9A"/>
    <w:multiLevelType w:val="multilevel"/>
    <w:tmpl w:val="5790BF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85165B"/>
    <w:multiLevelType w:val="hybridMultilevel"/>
    <w:tmpl w:val="44A61980"/>
    <w:lvl w:ilvl="0" w:tplc="572ED8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7F2777C"/>
    <w:multiLevelType w:val="hybridMultilevel"/>
    <w:tmpl w:val="2228D628"/>
    <w:lvl w:ilvl="0" w:tplc="71568830">
      <w:start w:val="1"/>
      <w:numFmt w:val="decimal"/>
      <w:lvlText w:val="%1."/>
      <w:lvlJc w:val="left"/>
      <w:pPr>
        <w:tabs>
          <w:tab w:val="num" w:pos="720"/>
        </w:tabs>
        <w:ind w:left="720" w:hanging="360"/>
      </w:pPr>
    </w:lvl>
    <w:lvl w:ilvl="1" w:tplc="10641892" w:tentative="1">
      <w:start w:val="1"/>
      <w:numFmt w:val="decimal"/>
      <w:lvlText w:val="%2."/>
      <w:lvlJc w:val="left"/>
      <w:pPr>
        <w:tabs>
          <w:tab w:val="num" w:pos="1440"/>
        </w:tabs>
        <w:ind w:left="1440" w:hanging="360"/>
      </w:pPr>
    </w:lvl>
    <w:lvl w:ilvl="2" w:tplc="08E2035A" w:tentative="1">
      <w:start w:val="1"/>
      <w:numFmt w:val="decimal"/>
      <w:lvlText w:val="%3."/>
      <w:lvlJc w:val="left"/>
      <w:pPr>
        <w:tabs>
          <w:tab w:val="num" w:pos="2160"/>
        </w:tabs>
        <w:ind w:left="2160" w:hanging="360"/>
      </w:pPr>
    </w:lvl>
    <w:lvl w:ilvl="3" w:tplc="EFD0A594" w:tentative="1">
      <w:start w:val="1"/>
      <w:numFmt w:val="decimal"/>
      <w:lvlText w:val="%4."/>
      <w:lvlJc w:val="left"/>
      <w:pPr>
        <w:tabs>
          <w:tab w:val="num" w:pos="2880"/>
        </w:tabs>
        <w:ind w:left="2880" w:hanging="360"/>
      </w:pPr>
    </w:lvl>
    <w:lvl w:ilvl="4" w:tplc="A1EEA348" w:tentative="1">
      <w:start w:val="1"/>
      <w:numFmt w:val="decimal"/>
      <w:lvlText w:val="%5."/>
      <w:lvlJc w:val="left"/>
      <w:pPr>
        <w:tabs>
          <w:tab w:val="num" w:pos="3600"/>
        </w:tabs>
        <w:ind w:left="3600" w:hanging="360"/>
      </w:pPr>
    </w:lvl>
    <w:lvl w:ilvl="5" w:tplc="76AC2988" w:tentative="1">
      <w:start w:val="1"/>
      <w:numFmt w:val="decimal"/>
      <w:lvlText w:val="%6."/>
      <w:lvlJc w:val="left"/>
      <w:pPr>
        <w:tabs>
          <w:tab w:val="num" w:pos="4320"/>
        </w:tabs>
        <w:ind w:left="4320" w:hanging="360"/>
      </w:pPr>
    </w:lvl>
    <w:lvl w:ilvl="6" w:tplc="B0E4CDB8" w:tentative="1">
      <w:start w:val="1"/>
      <w:numFmt w:val="decimal"/>
      <w:lvlText w:val="%7."/>
      <w:lvlJc w:val="left"/>
      <w:pPr>
        <w:tabs>
          <w:tab w:val="num" w:pos="5040"/>
        </w:tabs>
        <w:ind w:left="5040" w:hanging="360"/>
      </w:pPr>
    </w:lvl>
    <w:lvl w:ilvl="7" w:tplc="B58E7D20" w:tentative="1">
      <w:start w:val="1"/>
      <w:numFmt w:val="decimal"/>
      <w:lvlText w:val="%8."/>
      <w:lvlJc w:val="left"/>
      <w:pPr>
        <w:tabs>
          <w:tab w:val="num" w:pos="5760"/>
        </w:tabs>
        <w:ind w:left="5760" w:hanging="360"/>
      </w:pPr>
    </w:lvl>
    <w:lvl w:ilvl="8" w:tplc="C5364246" w:tentative="1">
      <w:start w:val="1"/>
      <w:numFmt w:val="decimal"/>
      <w:lvlText w:val="%9."/>
      <w:lvlJc w:val="left"/>
      <w:pPr>
        <w:tabs>
          <w:tab w:val="num" w:pos="6480"/>
        </w:tabs>
        <w:ind w:left="6480" w:hanging="360"/>
      </w:pPr>
    </w:lvl>
  </w:abstractNum>
  <w:abstractNum w:abstractNumId="18">
    <w:nsid w:val="39936F55"/>
    <w:multiLevelType w:val="multilevel"/>
    <w:tmpl w:val="DDD837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D716216"/>
    <w:multiLevelType w:val="multilevel"/>
    <w:tmpl w:val="6D7CA1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DCF5D5D"/>
    <w:multiLevelType w:val="hybridMultilevel"/>
    <w:tmpl w:val="E3A25302"/>
    <w:lvl w:ilvl="0" w:tplc="E0547F38">
      <w:start w:val="1"/>
      <w:numFmt w:val="decimal"/>
      <w:lvlText w:val="%1."/>
      <w:lvlJc w:val="left"/>
      <w:pPr>
        <w:tabs>
          <w:tab w:val="num" w:pos="720"/>
        </w:tabs>
        <w:ind w:left="720" w:hanging="360"/>
      </w:pPr>
    </w:lvl>
    <w:lvl w:ilvl="1" w:tplc="1A601A46" w:tentative="1">
      <w:start w:val="1"/>
      <w:numFmt w:val="decimal"/>
      <w:lvlText w:val="%2."/>
      <w:lvlJc w:val="left"/>
      <w:pPr>
        <w:tabs>
          <w:tab w:val="num" w:pos="1440"/>
        </w:tabs>
        <w:ind w:left="1440" w:hanging="360"/>
      </w:pPr>
    </w:lvl>
    <w:lvl w:ilvl="2" w:tplc="766A6380" w:tentative="1">
      <w:start w:val="1"/>
      <w:numFmt w:val="decimal"/>
      <w:lvlText w:val="%3."/>
      <w:lvlJc w:val="left"/>
      <w:pPr>
        <w:tabs>
          <w:tab w:val="num" w:pos="2160"/>
        </w:tabs>
        <w:ind w:left="2160" w:hanging="360"/>
      </w:pPr>
    </w:lvl>
    <w:lvl w:ilvl="3" w:tplc="B6685EAC" w:tentative="1">
      <w:start w:val="1"/>
      <w:numFmt w:val="decimal"/>
      <w:lvlText w:val="%4."/>
      <w:lvlJc w:val="left"/>
      <w:pPr>
        <w:tabs>
          <w:tab w:val="num" w:pos="2880"/>
        </w:tabs>
        <w:ind w:left="2880" w:hanging="360"/>
      </w:pPr>
    </w:lvl>
    <w:lvl w:ilvl="4" w:tplc="5B821122" w:tentative="1">
      <w:start w:val="1"/>
      <w:numFmt w:val="decimal"/>
      <w:lvlText w:val="%5."/>
      <w:lvlJc w:val="left"/>
      <w:pPr>
        <w:tabs>
          <w:tab w:val="num" w:pos="3600"/>
        </w:tabs>
        <w:ind w:left="3600" w:hanging="360"/>
      </w:pPr>
    </w:lvl>
    <w:lvl w:ilvl="5" w:tplc="C3CE569E" w:tentative="1">
      <w:start w:val="1"/>
      <w:numFmt w:val="decimal"/>
      <w:lvlText w:val="%6."/>
      <w:lvlJc w:val="left"/>
      <w:pPr>
        <w:tabs>
          <w:tab w:val="num" w:pos="4320"/>
        </w:tabs>
        <w:ind w:left="4320" w:hanging="360"/>
      </w:pPr>
    </w:lvl>
    <w:lvl w:ilvl="6" w:tplc="82F4538E" w:tentative="1">
      <w:start w:val="1"/>
      <w:numFmt w:val="decimal"/>
      <w:lvlText w:val="%7."/>
      <w:lvlJc w:val="left"/>
      <w:pPr>
        <w:tabs>
          <w:tab w:val="num" w:pos="5040"/>
        </w:tabs>
        <w:ind w:left="5040" w:hanging="360"/>
      </w:pPr>
    </w:lvl>
    <w:lvl w:ilvl="7" w:tplc="EC5C212E" w:tentative="1">
      <w:start w:val="1"/>
      <w:numFmt w:val="decimal"/>
      <w:lvlText w:val="%8."/>
      <w:lvlJc w:val="left"/>
      <w:pPr>
        <w:tabs>
          <w:tab w:val="num" w:pos="5760"/>
        </w:tabs>
        <w:ind w:left="5760" w:hanging="360"/>
      </w:pPr>
    </w:lvl>
    <w:lvl w:ilvl="8" w:tplc="67FA5410" w:tentative="1">
      <w:start w:val="1"/>
      <w:numFmt w:val="decimal"/>
      <w:lvlText w:val="%9."/>
      <w:lvlJc w:val="left"/>
      <w:pPr>
        <w:tabs>
          <w:tab w:val="num" w:pos="6480"/>
        </w:tabs>
        <w:ind w:left="6480" w:hanging="360"/>
      </w:pPr>
    </w:lvl>
  </w:abstractNum>
  <w:abstractNum w:abstractNumId="21">
    <w:nsid w:val="3E423C2D"/>
    <w:multiLevelType w:val="multilevel"/>
    <w:tmpl w:val="AF82B414"/>
    <w:lvl w:ilvl="0">
      <w:start w:val="1"/>
      <w:numFmt w:val="decimal"/>
      <w:lvlText w:val="%1"/>
      <w:lvlJc w:val="left"/>
      <w:pPr>
        <w:ind w:left="927" w:hanging="360"/>
      </w:pPr>
      <w:rPr>
        <w:rFonts w:hint="default"/>
      </w:rPr>
    </w:lvl>
    <w:lvl w:ilvl="1">
      <w:start w:val="1"/>
      <w:numFmt w:val="decimal"/>
      <w:isLgl/>
      <w:lvlText w:val="%1.%2"/>
      <w:lvlJc w:val="left"/>
      <w:pPr>
        <w:ind w:left="8739"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2">
    <w:nsid w:val="3E8F2334"/>
    <w:multiLevelType w:val="hybridMultilevel"/>
    <w:tmpl w:val="85EE78DA"/>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3">
    <w:nsid w:val="44C62E73"/>
    <w:multiLevelType w:val="hybridMultilevel"/>
    <w:tmpl w:val="44A61980"/>
    <w:lvl w:ilvl="0" w:tplc="572ED8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BD5744E"/>
    <w:multiLevelType w:val="multilevel"/>
    <w:tmpl w:val="5DA89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F8C6F01"/>
    <w:multiLevelType w:val="hybridMultilevel"/>
    <w:tmpl w:val="764CD4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FE004FA"/>
    <w:multiLevelType w:val="hybridMultilevel"/>
    <w:tmpl w:val="1DC211FC"/>
    <w:lvl w:ilvl="0" w:tplc="61A097DC">
      <w:start w:val="1"/>
      <w:numFmt w:val="decimal"/>
      <w:lvlText w:val="%1."/>
      <w:lvlJc w:val="left"/>
      <w:pPr>
        <w:tabs>
          <w:tab w:val="num" w:pos="720"/>
        </w:tabs>
        <w:ind w:left="720" w:hanging="360"/>
      </w:pPr>
    </w:lvl>
    <w:lvl w:ilvl="1" w:tplc="3836EC48" w:tentative="1">
      <w:start w:val="1"/>
      <w:numFmt w:val="decimal"/>
      <w:lvlText w:val="%2."/>
      <w:lvlJc w:val="left"/>
      <w:pPr>
        <w:tabs>
          <w:tab w:val="num" w:pos="1440"/>
        </w:tabs>
        <w:ind w:left="1440" w:hanging="360"/>
      </w:pPr>
    </w:lvl>
    <w:lvl w:ilvl="2" w:tplc="1D36DFB2" w:tentative="1">
      <w:start w:val="1"/>
      <w:numFmt w:val="decimal"/>
      <w:lvlText w:val="%3."/>
      <w:lvlJc w:val="left"/>
      <w:pPr>
        <w:tabs>
          <w:tab w:val="num" w:pos="2160"/>
        </w:tabs>
        <w:ind w:left="2160" w:hanging="360"/>
      </w:pPr>
    </w:lvl>
    <w:lvl w:ilvl="3" w:tplc="7090B976" w:tentative="1">
      <w:start w:val="1"/>
      <w:numFmt w:val="decimal"/>
      <w:lvlText w:val="%4."/>
      <w:lvlJc w:val="left"/>
      <w:pPr>
        <w:tabs>
          <w:tab w:val="num" w:pos="2880"/>
        </w:tabs>
        <w:ind w:left="2880" w:hanging="360"/>
      </w:pPr>
    </w:lvl>
    <w:lvl w:ilvl="4" w:tplc="7CBA5064" w:tentative="1">
      <w:start w:val="1"/>
      <w:numFmt w:val="decimal"/>
      <w:lvlText w:val="%5."/>
      <w:lvlJc w:val="left"/>
      <w:pPr>
        <w:tabs>
          <w:tab w:val="num" w:pos="3600"/>
        </w:tabs>
        <w:ind w:left="3600" w:hanging="360"/>
      </w:pPr>
    </w:lvl>
    <w:lvl w:ilvl="5" w:tplc="85F0E916" w:tentative="1">
      <w:start w:val="1"/>
      <w:numFmt w:val="decimal"/>
      <w:lvlText w:val="%6."/>
      <w:lvlJc w:val="left"/>
      <w:pPr>
        <w:tabs>
          <w:tab w:val="num" w:pos="4320"/>
        </w:tabs>
        <w:ind w:left="4320" w:hanging="360"/>
      </w:pPr>
    </w:lvl>
    <w:lvl w:ilvl="6" w:tplc="87BEE6D2" w:tentative="1">
      <w:start w:val="1"/>
      <w:numFmt w:val="decimal"/>
      <w:lvlText w:val="%7."/>
      <w:lvlJc w:val="left"/>
      <w:pPr>
        <w:tabs>
          <w:tab w:val="num" w:pos="5040"/>
        </w:tabs>
        <w:ind w:left="5040" w:hanging="360"/>
      </w:pPr>
    </w:lvl>
    <w:lvl w:ilvl="7" w:tplc="AB3C889C" w:tentative="1">
      <w:start w:val="1"/>
      <w:numFmt w:val="decimal"/>
      <w:lvlText w:val="%8."/>
      <w:lvlJc w:val="left"/>
      <w:pPr>
        <w:tabs>
          <w:tab w:val="num" w:pos="5760"/>
        </w:tabs>
        <w:ind w:left="5760" w:hanging="360"/>
      </w:pPr>
    </w:lvl>
    <w:lvl w:ilvl="8" w:tplc="2D767EC6" w:tentative="1">
      <w:start w:val="1"/>
      <w:numFmt w:val="decimal"/>
      <w:lvlText w:val="%9."/>
      <w:lvlJc w:val="left"/>
      <w:pPr>
        <w:tabs>
          <w:tab w:val="num" w:pos="6480"/>
        </w:tabs>
        <w:ind w:left="6480" w:hanging="360"/>
      </w:pPr>
    </w:lvl>
  </w:abstractNum>
  <w:abstractNum w:abstractNumId="27">
    <w:nsid w:val="53357059"/>
    <w:multiLevelType w:val="hybridMultilevel"/>
    <w:tmpl w:val="A20A09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39663CE"/>
    <w:multiLevelType w:val="multilevel"/>
    <w:tmpl w:val="500C3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5D17822"/>
    <w:multiLevelType w:val="hybridMultilevel"/>
    <w:tmpl w:val="213E9E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9C76C7F"/>
    <w:multiLevelType w:val="hybridMultilevel"/>
    <w:tmpl w:val="3C68C302"/>
    <w:lvl w:ilvl="0" w:tplc="CDCEDB64">
      <w:start w:val="1"/>
      <w:numFmt w:val="decimal"/>
      <w:lvlText w:val="%1."/>
      <w:lvlJc w:val="left"/>
      <w:pPr>
        <w:tabs>
          <w:tab w:val="num" w:pos="720"/>
        </w:tabs>
        <w:ind w:left="720" w:hanging="360"/>
      </w:pPr>
    </w:lvl>
    <w:lvl w:ilvl="1" w:tplc="3BCA17F4" w:tentative="1">
      <w:start w:val="1"/>
      <w:numFmt w:val="decimal"/>
      <w:lvlText w:val="%2."/>
      <w:lvlJc w:val="left"/>
      <w:pPr>
        <w:tabs>
          <w:tab w:val="num" w:pos="1440"/>
        </w:tabs>
        <w:ind w:left="1440" w:hanging="360"/>
      </w:pPr>
    </w:lvl>
    <w:lvl w:ilvl="2" w:tplc="68CE144A" w:tentative="1">
      <w:start w:val="1"/>
      <w:numFmt w:val="decimal"/>
      <w:lvlText w:val="%3."/>
      <w:lvlJc w:val="left"/>
      <w:pPr>
        <w:tabs>
          <w:tab w:val="num" w:pos="2160"/>
        </w:tabs>
        <w:ind w:left="2160" w:hanging="360"/>
      </w:pPr>
    </w:lvl>
    <w:lvl w:ilvl="3" w:tplc="AB02F640" w:tentative="1">
      <w:start w:val="1"/>
      <w:numFmt w:val="decimal"/>
      <w:lvlText w:val="%4."/>
      <w:lvlJc w:val="left"/>
      <w:pPr>
        <w:tabs>
          <w:tab w:val="num" w:pos="2880"/>
        </w:tabs>
        <w:ind w:left="2880" w:hanging="360"/>
      </w:pPr>
    </w:lvl>
    <w:lvl w:ilvl="4" w:tplc="B54EECCA" w:tentative="1">
      <w:start w:val="1"/>
      <w:numFmt w:val="decimal"/>
      <w:lvlText w:val="%5."/>
      <w:lvlJc w:val="left"/>
      <w:pPr>
        <w:tabs>
          <w:tab w:val="num" w:pos="3600"/>
        </w:tabs>
        <w:ind w:left="3600" w:hanging="360"/>
      </w:pPr>
    </w:lvl>
    <w:lvl w:ilvl="5" w:tplc="AE9E7B1C" w:tentative="1">
      <w:start w:val="1"/>
      <w:numFmt w:val="decimal"/>
      <w:lvlText w:val="%6."/>
      <w:lvlJc w:val="left"/>
      <w:pPr>
        <w:tabs>
          <w:tab w:val="num" w:pos="4320"/>
        </w:tabs>
        <w:ind w:left="4320" w:hanging="360"/>
      </w:pPr>
    </w:lvl>
    <w:lvl w:ilvl="6" w:tplc="7E120BD6" w:tentative="1">
      <w:start w:val="1"/>
      <w:numFmt w:val="decimal"/>
      <w:lvlText w:val="%7."/>
      <w:lvlJc w:val="left"/>
      <w:pPr>
        <w:tabs>
          <w:tab w:val="num" w:pos="5040"/>
        </w:tabs>
        <w:ind w:left="5040" w:hanging="360"/>
      </w:pPr>
    </w:lvl>
    <w:lvl w:ilvl="7" w:tplc="932C6E70" w:tentative="1">
      <w:start w:val="1"/>
      <w:numFmt w:val="decimal"/>
      <w:lvlText w:val="%8."/>
      <w:lvlJc w:val="left"/>
      <w:pPr>
        <w:tabs>
          <w:tab w:val="num" w:pos="5760"/>
        </w:tabs>
        <w:ind w:left="5760" w:hanging="360"/>
      </w:pPr>
    </w:lvl>
    <w:lvl w:ilvl="8" w:tplc="52A4DE16" w:tentative="1">
      <w:start w:val="1"/>
      <w:numFmt w:val="decimal"/>
      <w:lvlText w:val="%9."/>
      <w:lvlJc w:val="left"/>
      <w:pPr>
        <w:tabs>
          <w:tab w:val="num" w:pos="6480"/>
        </w:tabs>
        <w:ind w:left="6480" w:hanging="360"/>
      </w:pPr>
    </w:lvl>
  </w:abstractNum>
  <w:abstractNum w:abstractNumId="31">
    <w:nsid w:val="5ABE7815"/>
    <w:multiLevelType w:val="hybridMultilevel"/>
    <w:tmpl w:val="44A61980"/>
    <w:lvl w:ilvl="0" w:tplc="572ED8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C171715"/>
    <w:multiLevelType w:val="hybridMultilevel"/>
    <w:tmpl w:val="A34895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F4E0A43"/>
    <w:multiLevelType w:val="hybridMultilevel"/>
    <w:tmpl w:val="A34895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F89517B"/>
    <w:multiLevelType w:val="hybridMultilevel"/>
    <w:tmpl w:val="3072DAB2"/>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5">
    <w:nsid w:val="616B07C8"/>
    <w:multiLevelType w:val="multilevel"/>
    <w:tmpl w:val="7EA27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1814EB0"/>
    <w:multiLevelType w:val="hybridMultilevel"/>
    <w:tmpl w:val="57749A22"/>
    <w:lvl w:ilvl="0" w:tplc="A5DC900C">
      <w:start w:val="1"/>
      <w:numFmt w:val="decimal"/>
      <w:lvlText w:val="%1)"/>
      <w:lvlJc w:val="left"/>
      <w:pPr>
        <w:ind w:left="927" w:hanging="360"/>
      </w:pPr>
      <w:rPr>
        <w:rFonts w:ascii="Times New Roman" w:hAnsi="Times New Roman" w:cs="Times New Roman" w:hint="default"/>
        <w:i w:val="0"/>
        <w:color w:val="000000"/>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630E6DD3"/>
    <w:multiLevelType w:val="multilevel"/>
    <w:tmpl w:val="1506F97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935587E"/>
    <w:multiLevelType w:val="hybridMultilevel"/>
    <w:tmpl w:val="63BED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4C5D2F"/>
    <w:multiLevelType w:val="multilevel"/>
    <w:tmpl w:val="61A8D1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009646F"/>
    <w:multiLevelType w:val="hybridMultilevel"/>
    <w:tmpl w:val="6DE8FFA4"/>
    <w:lvl w:ilvl="0" w:tplc="FACACDE4">
      <w:start w:val="1"/>
      <w:numFmt w:val="bullet"/>
      <w:lvlText w:val=""/>
      <w:lvlJc w:val="left"/>
      <w:pPr>
        <w:tabs>
          <w:tab w:val="num" w:pos="720"/>
        </w:tabs>
        <w:ind w:left="720" w:hanging="360"/>
      </w:pPr>
      <w:rPr>
        <w:rFonts w:ascii="Wingdings" w:hAnsi="Wingdings" w:hint="default"/>
      </w:rPr>
    </w:lvl>
    <w:lvl w:ilvl="1" w:tplc="43021676" w:tentative="1">
      <w:start w:val="1"/>
      <w:numFmt w:val="bullet"/>
      <w:lvlText w:val=""/>
      <w:lvlJc w:val="left"/>
      <w:pPr>
        <w:tabs>
          <w:tab w:val="num" w:pos="1440"/>
        </w:tabs>
        <w:ind w:left="1440" w:hanging="360"/>
      </w:pPr>
      <w:rPr>
        <w:rFonts w:ascii="Wingdings" w:hAnsi="Wingdings" w:hint="default"/>
      </w:rPr>
    </w:lvl>
    <w:lvl w:ilvl="2" w:tplc="EB8CE3F8" w:tentative="1">
      <w:start w:val="1"/>
      <w:numFmt w:val="bullet"/>
      <w:lvlText w:val=""/>
      <w:lvlJc w:val="left"/>
      <w:pPr>
        <w:tabs>
          <w:tab w:val="num" w:pos="2160"/>
        </w:tabs>
        <w:ind w:left="2160" w:hanging="360"/>
      </w:pPr>
      <w:rPr>
        <w:rFonts w:ascii="Wingdings" w:hAnsi="Wingdings" w:hint="default"/>
      </w:rPr>
    </w:lvl>
    <w:lvl w:ilvl="3" w:tplc="63982A2A" w:tentative="1">
      <w:start w:val="1"/>
      <w:numFmt w:val="bullet"/>
      <w:lvlText w:val=""/>
      <w:lvlJc w:val="left"/>
      <w:pPr>
        <w:tabs>
          <w:tab w:val="num" w:pos="2880"/>
        </w:tabs>
        <w:ind w:left="2880" w:hanging="360"/>
      </w:pPr>
      <w:rPr>
        <w:rFonts w:ascii="Wingdings" w:hAnsi="Wingdings" w:hint="default"/>
      </w:rPr>
    </w:lvl>
    <w:lvl w:ilvl="4" w:tplc="ECC86722" w:tentative="1">
      <w:start w:val="1"/>
      <w:numFmt w:val="bullet"/>
      <w:lvlText w:val=""/>
      <w:lvlJc w:val="left"/>
      <w:pPr>
        <w:tabs>
          <w:tab w:val="num" w:pos="3600"/>
        </w:tabs>
        <w:ind w:left="3600" w:hanging="360"/>
      </w:pPr>
      <w:rPr>
        <w:rFonts w:ascii="Wingdings" w:hAnsi="Wingdings" w:hint="default"/>
      </w:rPr>
    </w:lvl>
    <w:lvl w:ilvl="5" w:tplc="F020BAE0" w:tentative="1">
      <w:start w:val="1"/>
      <w:numFmt w:val="bullet"/>
      <w:lvlText w:val=""/>
      <w:lvlJc w:val="left"/>
      <w:pPr>
        <w:tabs>
          <w:tab w:val="num" w:pos="4320"/>
        </w:tabs>
        <w:ind w:left="4320" w:hanging="360"/>
      </w:pPr>
      <w:rPr>
        <w:rFonts w:ascii="Wingdings" w:hAnsi="Wingdings" w:hint="default"/>
      </w:rPr>
    </w:lvl>
    <w:lvl w:ilvl="6" w:tplc="93F6B9B6" w:tentative="1">
      <w:start w:val="1"/>
      <w:numFmt w:val="bullet"/>
      <w:lvlText w:val=""/>
      <w:lvlJc w:val="left"/>
      <w:pPr>
        <w:tabs>
          <w:tab w:val="num" w:pos="5040"/>
        </w:tabs>
        <w:ind w:left="5040" w:hanging="360"/>
      </w:pPr>
      <w:rPr>
        <w:rFonts w:ascii="Wingdings" w:hAnsi="Wingdings" w:hint="default"/>
      </w:rPr>
    </w:lvl>
    <w:lvl w:ilvl="7" w:tplc="F56E1496" w:tentative="1">
      <w:start w:val="1"/>
      <w:numFmt w:val="bullet"/>
      <w:lvlText w:val=""/>
      <w:lvlJc w:val="left"/>
      <w:pPr>
        <w:tabs>
          <w:tab w:val="num" w:pos="5760"/>
        </w:tabs>
        <w:ind w:left="5760" w:hanging="360"/>
      </w:pPr>
      <w:rPr>
        <w:rFonts w:ascii="Wingdings" w:hAnsi="Wingdings" w:hint="default"/>
      </w:rPr>
    </w:lvl>
    <w:lvl w:ilvl="8" w:tplc="419A3FBA" w:tentative="1">
      <w:start w:val="1"/>
      <w:numFmt w:val="bullet"/>
      <w:lvlText w:val=""/>
      <w:lvlJc w:val="left"/>
      <w:pPr>
        <w:tabs>
          <w:tab w:val="num" w:pos="6480"/>
        </w:tabs>
        <w:ind w:left="6480" w:hanging="360"/>
      </w:pPr>
      <w:rPr>
        <w:rFonts w:ascii="Wingdings" w:hAnsi="Wingdings" w:hint="default"/>
      </w:rPr>
    </w:lvl>
  </w:abstractNum>
  <w:abstractNum w:abstractNumId="41">
    <w:nsid w:val="782D1B5F"/>
    <w:multiLevelType w:val="hybridMultilevel"/>
    <w:tmpl w:val="A34895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949478A"/>
    <w:multiLevelType w:val="hybridMultilevel"/>
    <w:tmpl w:val="44A61980"/>
    <w:lvl w:ilvl="0" w:tplc="572ED8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C3728ED"/>
    <w:multiLevelType w:val="multilevel"/>
    <w:tmpl w:val="E834CFA2"/>
    <w:lvl w:ilvl="0">
      <w:start w:val="2"/>
      <w:numFmt w:val="decimal"/>
      <w:lvlText w:val="%1"/>
      <w:lvlJc w:val="left"/>
      <w:pPr>
        <w:ind w:left="720" w:hanging="360"/>
      </w:pPr>
      <w:rPr>
        <w:rFonts w:cs="Times New Roman" w:hint="default"/>
        <w:i w:val="0"/>
        <w:color w:val="C00000"/>
      </w:rPr>
    </w:lvl>
    <w:lvl w:ilvl="1">
      <w:start w:val="1"/>
      <w:numFmt w:val="decimal"/>
      <w:isLgl/>
      <w:lvlText w:val="%1.%2"/>
      <w:lvlJc w:val="left"/>
      <w:pPr>
        <w:ind w:left="2077" w:hanging="375"/>
      </w:pPr>
      <w:rPr>
        <w:rFonts w:cs="Times New Roman" w:hint="default"/>
      </w:rPr>
    </w:lvl>
    <w:lvl w:ilvl="2">
      <w:start w:val="1"/>
      <w:numFmt w:val="decimal"/>
      <w:isLgl/>
      <w:lvlText w:val="%1.%2.%3"/>
      <w:lvlJc w:val="left"/>
      <w:pPr>
        <w:ind w:left="3764" w:hanging="720"/>
      </w:pPr>
      <w:rPr>
        <w:rFonts w:cs="Times New Roman" w:hint="default"/>
        <w:color w:val="365F91"/>
      </w:rPr>
    </w:lvl>
    <w:lvl w:ilvl="3">
      <w:start w:val="1"/>
      <w:numFmt w:val="decimal"/>
      <w:isLgl/>
      <w:lvlText w:val="%1.%2.%3.%4"/>
      <w:lvlJc w:val="left"/>
      <w:pPr>
        <w:ind w:left="5466" w:hanging="1080"/>
      </w:pPr>
      <w:rPr>
        <w:rFonts w:cs="Times New Roman" w:hint="default"/>
      </w:rPr>
    </w:lvl>
    <w:lvl w:ilvl="4">
      <w:start w:val="1"/>
      <w:numFmt w:val="decimal"/>
      <w:isLgl/>
      <w:lvlText w:val="%1.%2.%3.%4.%5"/>
      <w:lvlJc w:val="left"/>
      <w:pPr>
        <w:ind w:left="6808" w:hanging="1080"/>
      </w:pPr>
      <w:rPr>
        <w:rFonts w:cs="Times New Roman" w:hint="default"/>
      </w:rPr>
    </w:lvl>
    <w:lvl w:ilvl="5">
      <w:start w:val="1"/>
      <w:numFmt w:val="decimal"/>
      <w:isLgl/>
      <w:lvlText w:val="%1.%2.%3.%4.%5.%6"/>
      <w:lvlJc w:val="left"/>
      <w:pPr>
        <w:ind w:left="8510" w:hanging="1440"/>
      </w:pPr>
      <w:rPr>
        <w:rFonts w:cs="Times New Roman" w:hint="default"/>
      </w:rPr>
    </w:lvl>
    <w:lvl w:ilvl="6">
      <w:start w:val="1"/>
      <w:numFmt w:val="decimal"/>
      <w:isLgl/>
      <w:lvlText w:val="%1.%2.%3.%4.%5.%6.%7"/>
      <w:lvlJc w:val="left"/>
      <w:pPr>
        <w:ind w:left="9852" w:hanging="1440"/>
      </w:pPr>
      <w:rPr>
        <w:rFonts w:cs="Times New Roman" w:hint="default"/>
      </w:rPr>
    </w:lvl>
    <w:lvl w:ilvl="7">
      <w:start w:val="1"/>
      <w:numFmt w:val="decimal"/>
      <w:isLgl/>
      <w:lvlText w:val="%1.%2.%3.%4.%5.%6.%7.%8"/>
      <w:lvlJc w:val="left"/>
      <w:pPr>
        <w:ind w:left="11554" w:hanging="1800"/>
      </w:pPr>
      <w:rPr>
        <w:rFonts w:cs="Times New Roman" w:hint="default"/>
      </w:rPr>
    </w:lvl>
    <w:lvl w:ilvl="8">
      <w:start w:val="1"/>
      <w:numFmt w:val="decimal"/>
      <w:isLgl/>
      <w:lvlText w:val="%1.%2.%3.%4.%5.%6.%7.%8.%9"/>
      <w:lvlJc w:val="left"/>
      <w:pPr>
        <w:ind w:left="13256" w:hanging="2160"/>
      </w:pPr>
      <w:rPr>
        <w:rFonts w:cs="Times New Roman" w:hint="default"/>
      </w:rPr>
    </w:lvl>
  </w:abstractNum>
  <w:num w:numId="1">
    <w:abstractNumId w:val="3"/>
  </w:num>
  <w:num w:numId="2">
    <w:abstractNumId w:val="43"/>
  </w:num>
  <w:num w:numId="3">
    <w:abstractNumId w:val="40"/>
  </w:num>
  <w:num w:numId="4">
    <w:abstractNumId w:val="21"/>
  </w:num>
  <w:num w:numId="5">
    <w:abstractNumId w:val="7"/>
  </w:num>
  <w:num w:numId="6">
    <w:abstractNumId w:val="16"/>
  </w:num>
  <w:num w:numId="7">
    <w:abstractNumId w:val="5"/>
  </w:num>
  <w:num w:numId="8">
    <w:abstractNumId w:val="42"/>
  </w:num>
  <w:num w:numId="9">
    <w:abstractNumId w:val="23"/>
  </w:num>
  <w:num w:numId="10">
    <w:abstractNumId w:val="31"/>
  </w:num>
  <w:num w:numId="11">
    <w:abstractNumId w:val="39"/>
  </w:num>
  <w:num w:numId="12">
    <w:abstractNumId w:val="14"/>
  </w:num>
  <w:num w:numId="13">
    <w:abstractNumId w:val="28"/>
  </w:num>
  <w:num w:numId="14">
    <w:abstractNumId w:val="15"/>
  </w:num>
  <w:num w:numId="15">
    <w:abstractNumId w:val="41"/>
  </w:num>
  <w:num w:numId="16">
    <w:abstractNumId w:val="12"/>
  </w:num>
  <w:num w:numId="17">
    <w:abstractNumId w:val="4"/>
  </w:num>
  <w:num w:numId="18">
    <w:abstractNumId w:val="32"/>
  </w:num>
  <w:num w:numId="19">
    <w:abstractNumId w:val="33"/>
  </w:num>
  <w:num w:numId="20">
    <w:abstractNumId w:val="8"/>
  </w:num>
  <w:num w:numId="21">
    <w:abstractNumId w:val="20"/>
  </w:num>
  <w:num w:numId="22">
    <w:abstractNumId w:val="30"/>
  </w:num>
  <w:num w:numId="23">
    <w:abstractNumId w:val="0"/>
  </w:num>
  <w:num w:numId="24">
    <w:abstractNumId w:val="38"/>
  </w:num>
  <w:num w:numId="25">
    <w:abstractNumId w:val="34"/>
  </w:num>
  <w:num w:numId="26">
    <w:abstractNumId w:val="26"/>
  </w:num>
  <w:num w:numId="27">
    <w:abstractNumId w:val="17"/>
  </w:num>
  <w:num w:numId="28">
    <w:abstractNumId w:val="24"/>
  </w:num>
  <w:num w:numId="29">
    <w:abstractNumId w:val="29"/>
  </w:num>
  <w:num w:numId="30">
    <w:abstractNumId w:val="35"/>
  </w:num>
  <w:num w:numId="31">
    <w:abstractNumId w:val="27"/>
  </w:num>
  <w:num w:numId="32">
    <w:abstractNumId w:val="11"/>
  </w:num>
  <w:num w:numId="33">
    <w:abstractNumId w:val="13"/>
  </w:num>
  <w:num w:numId="34">
    <w:abstractNumId w:val="10"/>
  </w:num>
  <w:num w:numId="35">
    <w:abstractNumId w:val="18"/>
  </w:num>
  <w:num w:numId="36">
    <w:abstractNumId w:val="1"/>
  </w:num>
  <w:num w:numId="37">
    <w:abstractNumId w:val="2"/>
  </w:num>
  <w:num w:numId="38">
    <w:abstractNumId w:val="37"/>
  </w:num>
  <w:num w:numId="39">
    <w:abstractNumId w:val="19"/>
  </w:num>
  <w:num w:numId="40">
    <w:abstractNumId w:val="22"/>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9"/>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2"/>
  </w:compat>
  <w:rsids>
    <w:rsidRoot w:val="008B6E71"/>
    <w:rsid w:val="00015394"/>
    <w:rsid w:val="0003116F"/>
    <w:rsid w:val="000320B3"/>
    <w:rsid w:val="000631CB"/>
    <w:rsid w:val="00077D58"/>
    <w:rsid w:val="000B3929"/>
    <w:rsid w:val="000B7CD7"/>
    <w:rsid w:val="000C5333"/>
    <w:rsid w:val="00102CFF"/>
    <w:rsid w:val="00103FC9"/>
    <w:rsid w:val="0010573D"/>
    <w:rsid w:val="00132426"/>
    <w:rsid w:val="00150839"/>
    <w:rsid w:val="00164400"/>
    <w:rsid w:val="00184DDA"/>
    <w:rsid w:val="001E59F6"/>
    <w:rsid w:val="001F0139"/>
    <w:rsid w:val="002037E3"/>
    <w:rsid w:val="0026069D"/>
    <w:rsid w:val="002760F1"/>
    <w:rsid w:val="00282437"/>
    <w:rsid w:val="002962B6"/>
    <w:rsid w:val="002E13DB"/>
    <w:rsid w:val="002E2810"/>
    <w:rsid w:val="00302E87"/>
    <w:rsid w:val="00304575"/>
    <w:rsid w:val="00313604"/>
    <w:rsid w:val="00327135"/>
    <w:rsid w:val="00337AC4"/>
    <w:rsid w:val="003D68A9"/>
    <w:rsid w:val="00421D7C"/>
    <w:rsid w:val="00443650"/>
    <w:rsid w:val="00452450"/>
    <w:rsid w:val="004643AF"/>
    <w:rsid w:val="004671C0"/>
    <w:rsid w:val="0046792D"/>
    <w:rsid w:val="00484848"/>
    <w:rsid w:val="00487701"/>
    <w:rsid w:val="004D4A30"/>
    <w:rsid w:val="004E1324"/>
    <w:rsid w:val="00502DB5"/>
    <w:rsid w:val="00522C01"/>
    <w:rsid w:val="00530C24"/>
    <w:rsid w:val="0055055F"/>
    <w:rsid w:val="005528E3"/>
    <w:rsid w:val="00552D8D"/>
    <w:rsid w:val="0055572E"/>
    <w:rsid w:val="005659E4"/>
    <w:rsid w:val="00567ED1"/>
    <w:rsid w:val="0059514D"/>
    <w:rsid w:val="005B5E0C"/>
    <w:rsid w:val="005B62B2"/>
    <w:rsid w:val="005D6A55"/>
    <w:rsid w:val="00607703"/>
    <w:rsid w:val="006256C7"/>
    <w:rsid w:val="00633F69"/>
    <w:rsid w:val="006A37B1"/>
    <w:rsid w:val="006B23FC"/>
    <w:rsid w:val="006C73B0"/>
    <w:rsid w:val="006F7C15"/>
    <w:rsid w:val="00705A44"/>
    <w:rsid w:val="00717724"/>
    <w:rsid w:val="0072043A"/>
    <w:rsid w:val="00753D59"/>
    <w:rsid w:val="00795584"/>
    <w:rsid w:val="007B0F60"/>
    <w:rsid w:val="007D1BE5"/>
    <w:rsid w:val="007F7597"/>
    <w:rsid w:val="00805F04"/>
    <w:rsid w:val="00814189"/>
    <w:rsid w:val="00833A0F"/>
    <w:rsid w:val="00843F76"/>
    <w:rsid w:val="00854EA3"/>
    <w:rsid w:val="0086595F"/>
    <w:rsid w:val="008963BE"/>
    <w:rsid w:val="008A6327"/>
    <w:rsid w:val="008B60D7"/>
    <w:rsid w:val="008B6E71"/>
    <w:rsid w:val="008D1B35"/>
    <w:rsid w:val="008F2CB0"/>
    <w:rsid w:val="009047D9"/>
    <w:rsid w:val="0097127D"/>
    <w:rsid w:val="009A0141"/>
    <w:rsid w:val="009A24B4"/>
    <w:rsid w:val="009C63D6"/>
    <w:rsid w:val="009D346D"/>
    <w:rsid w:val="009E7227"/>
    <w:rsid w:val="00A03047"/>
    <w:rsid w:val="00A045B2"/>
    <w:rsid w:val="00A103E9"/>
    <w:rsid w:val="00A34308"/>
    <w:rsid w:val="00A43C32"/>
    <w:rsid w:val="00A478B9"/>
    <w:rsid w:val="00A65CD4"/>
    <w:rsid w:val="00A722E5"/>
    <w:rsid w:val="00A85573"/>
    <w:rsid w:val="00A95D87"/>
    <w:rsid w:val="00AE2DFC"/>
    <w:rsid w:val="00B3620A"/>
    <w:rsid w:val="00B42879"/>
    <w:rsid w:val="00B530B8"/>
    <w:rsid w:val="00B65778"/>
    <w:rsid w:val="00BB0AA7"/>
    <w:rsid w:val="00BC5C1B"/>
    <w:rsid w:val="00BD0E16"/>
    <w:rsid w:val="00C4516F"/>
    <w:rsid w:val="00C4773F"/>
    <w:rsid w:val="00C62FA6"/>
    <w:rsid w:val="00C83656"/>
    <w:rsid w:val="00C93B47"/>
    <w:rsid w:val="00C962D0"/>
    <w:rsid w:val="00CB144E"/>
    <w:rsid w:val="00CB3DA2"/>
    <w:rsid w:val="00CB5772"/>
    <w:rsid w:val="00CF5234"/>
    <w:rsid w:val="00D14EDE"/>
    <w:rsid w:val="00D3682B"/>
    <w:rsid w:val="00D37ED5"/>
    <w:rsid w:val="00D71FEA"/>
    <w:rsid w:val="00DA1EAE"/>
    <w:rsid w:val="00DE1D1C"/>
    <w:rsid w:val="00E0024D"/>
    <w:rsid w:val="00E14485"/>
    <w:rsid w:val="00E51CEF"/>
    <w:rsid w:val="00E63FD6"/>
    <w:rsid w:val="00E70610"/>
    <w:rsid w:val="00E7129E"/>
    <w:rsid w:val="00E74438"/>
    <w:rsid w:val="00E91E3A"/>
    <w:rsid w:val="00EA0A35"/>
    <w:rsid w:val="00EB0D88"/>
    <w:rsid w:val="00F23598"/>
    <w:rsid w:val="00F51B81"/>
    <w:rsid w:val="00FA0047"/>
    <w:rsid w:val="00FC6AEE"/>
    <w:rsid w:val="00FD48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C1B"/>
  </w:style>
  <w:style w:type="paragraph" w:styleId="2">
    <w:name w:val="heading 2"/>
    <w:basedOn w:val="a"/>
    <w:next w:val="a"/>
    <w:link w:val="20"/>
    <w:uiPriority w:val="99"/>
    <w:qFormat/>
    <w:rsid w:val="00E74438"/>
    <w:pPr>
      <w:keepNext/>
      <w:keepLines/>
      <w:spacing w:before="200" w:after="0"/>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8B6E71"/>
    <w:rPr>
      <w:rFonts w:ascii="Times New Roman" w:eastAsia="Times New Roman" w:hAnsi="Times New Roman" w:cs="Times New Roman"/>
      <w:b/>
      <w:bCs/>
      <w:sz w:val="28"/>
      <w:szCs w:val="28"/>
      <w:shd w:val="clear" w:color="auto" w:fill="FFFFFF"/>
    </w:rPr>
  </w:style>
  <w:style w:type="paragraph" w:customStyle="1" w:styleId="10">
    <w:name w:val="Заголовок №1"/>
    <w:basedOn w:val="a"/>
    <w:link w:val="1"/>
    <w:rsid w:val="008B6E71"/>
    <w:pPr>
      <w:widowControl w:val="0"/>
      <w:shd w:val="clear" w:color="auto" w:fill="FFFFFF"/>
      <w:spacing w:after="480" w:line="0" w:lineRule="atLeast"/>
      <w:ind w:hanging="1400"/>
      <w:jc w:val="both"/>
      <w:outlineLvl w:val="0"/>
    </w:pPr>
    <w:rPr>
      <w:rFonts w:ascii="Times New Roman" w:eastAsia="Times New Roman" w:hAnsi="Times New Roman" w:cs="Times New Roman"/>
      <w:b/>
      <w:bCs/>
      <w:sz w:val="28"/>
      <w:szCs w:val="28"/>
    </w:rPr>
  </w:style>
  <w:style w:type="paragraph" w:styleId="a3">
    <w:name w:val="List Paragraph"/>
    <w:basedOn w:val="a"/>
    <w:link w:val="a4"/>
    <w:uiPriority w:val="34"/>
    <w:qFormat/>
    <w:rsid w:val="008B6E71"/>
    <w:pPr>
      <w:ind w:left="720"/>
      <w:contextualSpacing/>
    </w:pPr>
  </w:style>
  <w:style w:type="character" w:customStyle="1" w:styleId="a4">
    <w:name w:val="Абзац списка Знак"/>
    <w:link w:val="a3"/>
    <w:uiPriority w:val="34"/>
    <w:locked/>
    <w:rsid w:val="008B6E71"/>
  </w:style>
  <w:style w:type="character" w:customStyle="1" w:styleId="21">
    <w:name w:val="Основной текст (2)_"/>
    <w:basedOn w:val="a0"/>
    <w:link w:val="22"/>
    <w:rsid w:val="004643AF"/>
    <w:rPr>
      <w:rFonts w:ascii="Times New Roman" w:eastAsia="Times New Roman" w:hAnsi="Times New Roman" w:cs="Times New Roman"/>
      <w:shd w:val="clear" w:color="auto" w:fill="FFFFFF"/>
    </w:rPr>
  </w:style>
  <w:style w:type="paragraph" w:customStyle="1" w:styleId="22">
    <w:name w:val="Основной текст (2)"/>
    <w:basedOn w:val="a"/>
    <w:link w:val="21"/>
    <w:rsid w:val="004643AF"/>
    <w:pPr>
      <w:widowControl w:val="0"/>
      <w:shd w:val="clear" w:color="auto" w:fill="FFFFFF"/>
      <w:spacing w:before="3780" w:after="0" w:line="0" w:lineRule="atLeast"/>
      <w:ind w:hanging="440"/>
      <w:jc w:val="center"/>
    </w:pPr>
    <w:rPr>
      <w:rFonts w:ascii="Times New Roman" w:eastAsia="Times New Roman" w:hAnsi="Times New Roman" w:cs="Times New Roman"/>
    </w:rPr>
  </w:style>
  <w:style w:type="paragraph" w:styleId="a5">
    <w:name w:val="Balloon Text"/>
    <w:basedOn w:val="a"/>
    <w:link w:val="a6"/>
    <w:uiPriority w:val="99"/>
    <w:semiHidden/>
    <w:unhideWhenUsed/>
    <w:rsid w:val="00D14E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4EDE"/>
    <w:rPr>
      <w:rFonts w:ascii="Tahoma" w:hAnsi="Tahoma" w:cs="Tahoma"/>
      <w:sz w:val="16"/>
      <w:szCs w:val="16"/>
    </w:rPr>
  </w:style>
  <w:style w:type="character" w:customStyle="1" w:styleId="23">
    <w:name w:val="Заголовок №2_"/>
    <w:basedOn w:val="a0"/>
    <w:link w:val="24"/>
    <w:rsid w:val="004D4A30"/>
    <w:rPr>
      <w:rFonts w:ascii="Times New Roman" w:eastAsia="Times New Roman" w:hAnsi="Times New Roman" w:cs="Times New Roman"/>
      <w:b/>
      <w:bCs/>
      <w:shd w:val="clear" w:color="auto" w:fill="FFFFFF"/>
    </w:rPr>
  </w:style>
  <w:style w:type="paragraph" w:customStyle="1" w:styleId="24">
    <w:name w:val="Заголовок №2"/>
    <w:basedOn w:val="a"/>
    <w:link w:val="23"/>
    <w:rsid w:val="004D4A30"/>
    <w:pPr>
      <w:widowControl w:val="0"/>
      <w:shd w:val="clear" w:color="auto" w:fill="FFFFFF"/>
      <w:spacing w:before="420" w:after="60" w:line="0" w:lineRule="atLeast"/>
      <w:ind w:hanging="300"/>
      <w:jc w:val="both"/>
      <w:outlineLvl w:val="1"/>
    </w:pPr>
    <w:rPr>
      <w:rFonts w:ascii="Times New Roman" w:eastAsia="Times New Roman" w:hAnsi="Times New Roman" w:cs="Times New Roman"/>
      <w:b/>
      <w:bCs/>
    </w:rPr>
  </w:style>
  <w:style w:type="character" w:customStyle="1" w:styleId="20">
    <w:name w:val="Заголовок 2 Знак"/>
    <w:basedOn w:val="a0"/>
    <w:link w:val="2"/>
    <w:uiPriority w:val="99"/>
    <w:rsid w:val="00E74438"/>
    <w:rPr>
      <w:rFonts w:ascii="Cambria" w:eastAsia="Times New Roman" w:hAnsi="Cambria" w:cs="Times New Roman"/>
      <w:b/>
      <w:bCs/>
      <w:color w:val="4F81BD"/>
      <w:sz w:val="26"/>
      <w:szCs w:val="26"/>
      <w:lang w:eastAsia="ru-RU"/>
    </w:rPr>
  </w:style>
  <w:style w:type="paragraph" w:styleId="a7">
    <w:name w:val="Normal (Web)"/>
    <w:aliases w:val=" Знак,Знак,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link w:val="25"/>
    <w:uiPriority w:val="99"/>
    <w:unhideWhenUsed/>
    <w:qFormat/>
    <w:rsid w:val="00337A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
    <w:name w:val="Основной текст (5)_"/>
    <w:basedOn w:val="a0"/>
    <w:link w:val="50"/>
    <w:rsid w:val="009A24B4"/>
    <w:rPr>
      <w:rFonts w:ascii="Times New Roman" w:eastAsia="Times New Roman" w:hAnsi="Times New Roman" w:cs="Times New Roman"/>
      <w:b/>
      <w:bCs/>
      <w:shd w:val="clear" w:color="auto" w:fill="FFFFFF"/>
    </w:rPr>
  </w:style>
  <w:style w:type="paragraph" w:customStyle="1" w:styleId="50">
    <w:name w:val="Основной текст (5)"/>
    <w:basedOn w:val="a"/>
    <w:link w:val="5"/>
    <w:rsid w:val="009A24B4"/>
    <w:pPr>
      <w:widowControl w:val="0"/>
      <w:shd w:val="clear" w:color="auto" w:fill="FFFFFF"/>
      <w:spacing w:after="0" w:line="274" w:lineRule="exact"/>
      <w:ind w:hanging="300"/>
      <w:jc w:val="center"/>
    </w:pPr>
    <w:rPr>
      <w:rFonts w:ascii="Times New Roman" w:eastAsia="Times New Roman" w:hAnsi="Times New Roman" w:cs="Times New Roman"/>
      <w:b/>
      <w:bCs/>
    </w:rPr>
  </w:style>
  <w:style w:type="character" w:customStyle="1" w:styleId="4">
    <w:name w:val="Основной текст (4)_"/>
    <w:basedOn w:val="a0"/>
    <w:link w:val="40"/>
    <w:rsid w:val="00A478B9"/>
    <w:rPr>
      <w:rFonts w:ascii="Times New Roman" w:eastAsia="Times New Roman" w:hAnsi="Times New Roman" w:cs="Times New Roman"/>
      <w:b/>
      <w:bCs/>
      <w:sz w:val="50"/>
      <w:szCs w:val="50"/>
      <w:shd w:val="clear" w:color="auto" w:fill="FFFFFF"/>
    </w:rPr>
  </w:style>
  <w:style w:type="paragraph" w:customStyle="1" w:styleId="40">
    <w:name w:val="Основной текст (4)"/>
    <w:basedOn w:val="a"/>
    <w:link w:val="4"/>
    <w:rsid w:val="00A478B9"/>
    <w:pPr>
      <w:widowControl w:val="0"/>
      <w:shd w:val="clear" w:color="auto" w:fill="FFFFFF"/>
      <w:spacing w:before="2220" w:after="660" w:line="0" w:lineRule="atLeast"/>
      <w:jc w:val="center"/>
    </w:pPr>
    <w:rPr>
      <w:rFonts w:ascii="Times New Roman" w:eastAsia="Times New Roman" w:hAnsi="Times New Roman" w:cs="Times New Roman"/>
      <w:b/>
      <w:bCs/>
      <w:sz w:val="50"/>
      <w:szCs w:val="50"/>
    </w:rPr>
  </w:style>
  <w:style w:type="paragraph" w:customStyle="1" w:styleId="a8">
    <w:name w:val="Стиль пункта схемы"/>
    <w:basedOn w:val="a"/>
    <w:rsid w:val="00A478B9"/>
    <w:pPr>
      <w:suppressAutoHyphens/>
      <w:autoSpaceDE w:val="0"/>
      <w:spacing w:after="0" w:line="360" w:lineRule="auto"/>
      <w:ind w:firstLine="680"/>
      <w:jc w:val="both"/>
    </w:pPr>
    <w:rPr>
      <w:rFonts w:ascii="Times New Roman" w:eastAsia="Times New Roman" w:hAnsi="Times New Roman" w:cs="Times New Roman"/>
      <w:sz w:val="28"/>
      <w:szCs w:val="28"/>
      <w:lang w:eastAsia="ar-SA"/>
    </w:rPr>
  </w:style>
  <w:style w:type="table" w:styleId="a9">
    <w:name w:val="Table Grid"/>
    <w:basedOn w:val="a1"/>
    <w:uiPriority w:val="59"/>
    <w:rsid w:val="0030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302E8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a">
    <w:name w:val="Основной"/>
    <w:basedOn w:val="ab"/>
    <w:rsid w:val="00805F04"/>
    <w:pPr>
      <w:suppressAutoHyphens/>
      <w:spacing w:after="0" w:line="240" w:lineRule="auto"/>
      <w:ind w:left="0" w:firstLine="680"/>
      <w:jc w:val="both"/>
    </w:pPr>
    <w:rPr>
      <w:rFonts w:ascii="Times New Roman" w:eastAsia="Times New Roman" w:hAnsi="Times New Roman" w:cs="Times New Roman"/>
      <w:sz w:val="28"/>
      <w:szCs w:val="24"/>
      <w:lang w:eastAsia="ar-SA"/>
    </w:rPr>
  </w:style>
  <w:style w:type="paragraph" w:styleId="ab">
    <w:name w:val="Body Text Indent"/>
    <w:basedOn w:val="a"/>
    <w:link w:val="ac"/>
    <w:uiPriority w:val="99"/>
    <w:semiHidden/>
    <w:unhideWhenUsed/>
    <w:rsid w:val="00805F04"/>
    <w:pPr>
      <w:spacing w:after="120"/>
      <w:ind w:left="283"/>
    </w:pPr>
  </w:style>
  <w:style w:type="character" w:customStyle="1" w:styleId="ac">
    <w:name w:val="Основной текст с отступом Знак"/>
    <w:basedOn w:val="a0"/>
    <w:link w:val="ab"/>
    <w:uiPriority w:val="99"/>
    <w:semiHidden/>
    <w:rsid w:val="00805F04"/>
  </w:style>
  <w:style w:type="paragraph" w:customStyle="1" w:styleId="ad">
    <w:name w:val="Стиль заключения Знак"/>
    <w:basedOn w:val="a"/>
    <w:rsid w:val="00607703"/>
    <w:pPr>
      <w:suppressAutoHyphens/>
      <w:spacing w:after="0" w:line="360" w:lineRule="auto"/>
      <w:ind w:firstLine="720"/>
      <w:jc w:val="both"/>
    </w:pPr>
    <w:rPr>
      <w:rFonts w:ascii="Times New Roman" w:eastAsia="Times New Roman" w:hAnsi="Times New Roman" w:cs="Times New Roman"/>
      <w:sz w:val="28"/>
      <w:szCs w:val="28"/>
      <w:lang w:eastAsia="ar-SA"/>
    </w:rPr>
  </w:style>
  <w:style w:type="character" w:styleId="ae">
    <w:name w:val="Hyperlink"/>
    <w:uiPriority w:val="99"/>
    <w:unhideWhenUsed/>
    <w:rsid w:val="00FA0047"/>
    <w:rPr>
      <w:color w:val="0000FF"/>
      <w:u w:val="single"/>
    </w:rPr>
  </w:style>
  <w:style w:type="character" w:customStyle="1" w:styleId="25">
    <w:name w:val="Обычный (веб) Знак2"/>
    <w:aliases w:val=" Знак Знак,Знак Знак,Обычный (Web) Знак,Обычный (веб)1 Знак,Обычный (веб) Знак Знак1,Обычный (веб) Знак1 Знак,Обычный (веб) Знак Знак Знак,Обычный (веб) Знак2 Знак Знак,Обычный (веб) Знак Знак1 Знак Знак"/>
    <w:link w:val="a7"/>
    <w:uiPriority w:val="99"/>
    <w:locked/>
    <w:rsid w:val="00FA0047"/>
    <w:rPr>
      <w:rFonts w:ascii="Times New Roman" w:eastAsia="Times New Roman" w:hAnsi="Times New Roman" w:cs="Times New Roman"/>
      <w:sz w:val="24"/>
      <w:szCs w:val="24"/>
      <w:lang w:eastAsia="ru-RU"/>
    </w:rPr>
  </w:style>
  <w:style w:type="character" w:customStyle="1" w:styleId="211pt">
    <w:name w:val="Основной текст (2) + 11 pt"/>
    <w:basedOn w:val="a0"/>
    <w:rsid w:val="00F51B8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onsPlusNormal">
    <w:name w:val="ConsPlusNormal Знак"/>
    <w:link w:val="ConsPlusNormal0"/>
    <w:locked/>
    <w:rsid w:val="00C4773F"/>
    <w:rPr>
      <w:rFonts w:ascii="Arial" w:eastAsia="Times New Roman" w:hAnsi="Arial" w:cs="Arial"/>
      <w:lang w:eastAsia="ar-SA"/>
    </w:rPr>
  </w:style>
  <w:style w:type="paragraph" w:customStyle="1" w:styleId="ConsPlusNormal0">
    <w:name w:val="ConsPlusNormal"/>
    <w:link w:val="ConsPlusNormal"/>
    <w:qFormat/>
    <w:rsid w:val="00C4773F"/>
    <w:pPr>
      <w:widowControl w:val="0"/>
      <w:suppressAutoHyphens/>
      <w:autoSpaceDE w:val="0"/>
      <w:spacing w:after="0" w:line="240" w:lineRule="auto"/>
      <w:ind w:firstLine="720"/>
    </w:pPr>
    <w:rPr>
      <w:rFonts w:ascii="Arial" w:eastAsia="Times New Roman" w:hAnsi="Arial" w:cs="Arial"/>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4980">
      <w:bodyDiv w:val="1"/>
      <w:marLeft w:val="0"/>
      <w:marRight w:val="0"/>
      <w:marTop w:val="0"/>
      <w:marBottom w:val="0"/>
      <w:divBdr>
        <w:top w:val="none" w:sz="0" w:space="0" w:color="auto"/>
        <w:left w:val="none" w:sz="0" w:space="0" w:color="auto"/>
        <w:bottom w:val="none" w:sz="0" w:space="0" w:color="auto"/>
        <w:right w:val="none" w:sz="0" w:space="0" w:color="auto"/>
      </w:divBdr>
    </w:div>
    <w:div w:id="189881042">
      <w:bodyDiv w:val="1"/>
      <w:marLeft w:val="0"/>
      <w:marRight w:val="0"/>
      <w:marTop w:val="0"/>
      <w:marBottom w:val="0"/>
      <w:divBdr>
        <w:top w:val="none" w:sz="0" w:space="0" w:color="auto"/>
        <w:left w:val="none" w:sz="0" w:space="0" w:color="auto"/>
        <w:bottom w:val="none" w:sz="0" w:space="0" w:color="auto"/>
        <w:right w:val="none" w:sz="0" w:space="0" w:color="auto"/>
      </w:divBdr>
    </w:div>
    <w:div w:id="298150398">
      <w:bodyDiv w:val="1"/>
      <w:marLeft w:val="0"/>
      <w:marRight w:val="0"/>
      <w:marTop w:val="0"/>
      <w:marBottom w:val="0"/>
      <w:divBdr>
        <w:top w:val="none" w:sz="0" w:space="0" w:color="auto"/>
        <w:left w:val="none" w:sz="0" w:space="0" w:color="auto"/>
        <w:bottom w:val="none" w:sz="0" w:space="0" w:color="auto"/>
        <w:right w:val="none" w:sz="0" w:space="0" w:color="auto"/>
      </w:divBdr>
    </w:div>
    <w:div w:id="457646350">
      <w:bodyDiv w:val="1"/>
      <w:marLeft w:val="0"/>
      <w:marRight w:val="0"/>
      <w:marTop w:val="0"/>
      <w:marBottom w:val="0"/>
      <w:divBdr>
        <w:top w:val="none" w:sz="0" w:space="0" w:color="auto"/>
        <w:left w:val="none" w:sz="0" w:space="0" w:color="auto"/>
        <w:bottom w:val="none" w:sz="0" w:space="0" w:color="auto"/>
        <w:right w:val="none" w:sz="0" w:space="0" w:color="auto"/>
      </w:divBdr>
    </w:div>
    <w:div w:id="603806692">
      <w:bodyDiv w:val="1"/>
      <w:marLeft w:val="0"/>
      <w:marRight w:val="0"/>
      <w:marTop w:val="0"/>
      <w:marBottom w:val="0"/>
      <w:divBdr>
        <w:top w:val="none" w:sz="0" w:space="0" w:color="auto"/>
        <w:left w:val="none" w:sz="0" w:space="0" w:color="auto"/>
        <w:bottom w:val="none" w:sz="0" w:space="0" w:color="auto"/>
        <w:right w:val="none" w:sz="0" w:space="0" w:color="auto"/>
      </w:divBdr>
    </w:div>
    <w:div w:id="624043308">
      <w:bodyDiv w:val="1"/>
      <w:marLeft w:val="0"/>
      <w:marRight w:val="0"/>
      <w:marTop w:val="0"/>
      <w:marBottom w:val="0"/>
      <w:divBdr>
        <w:top w:val="none" w:sz="0" w:space="0" w:color="auto"/>
        <w:left w:val="none" w:sz="0" w:space="0" w:color="auto"/>
        <w:bottom w:val="none" w:sz="0" w:space="0" w:color="auto"/>
        <w:right w:val="none" w:sz="0" w:space="0" w:color="auto"/>
      </w:divBdr>
    </w:div>
    <w:div w:id="851263950">
      <w:bodyDiv w:val="1"/>
      <w:marLeft w:val="0"/>
      <w:marRight w:val="0"/>
      <w:marTop w:val="0"/>
      <w:marBottom w:val="0"/>
      <w:divBdr>
        <w:top w:val="none" w:sz="0" w:space="0" w:color="auto"/>
        <w:left w:val="none" w:sz="0" w:space="0" w:color="auto"/>
        <w:bottom w:val="none" w:sz="0" w:space="0" w:color="auto"/>
        <w:right w:val="none" w:sz="0" w:space="0" w:color="auto"/>
      </w:divBdr>
    </w:div>
    <w:div w:id="952521863">
      <w:bodyDiv w:val="1"/>
      <w:marLeft w:val="0"/>
      <w:marRight w:val="0"/>
      <w:marTop w:val="0"/>
      <w:marBottom w:val="0"/>
      <w:divBdr>
        <w:top w:val="none" w:sz="0" w:space="0" w:color="auto"/>
        <w:left w:val="none" w:sz="0" w:space="0" w:color="auto"/>
        <w:bottom w:val="none" w:sz="0" w:space="0" w:color="auto"/>
        <w:right w:val="none" w:sz="0" w:space="0" w:color="auto"/>
      </w:divBdr>
    </w:div>
    <w:div w:id="978219569">
      <w:bodyDiv w:val="1"/>
      <w:marLeft w:val="0"/>
      <w:marRight w:val="0"/>
      <w:marTop w:val="0"/>
      <w:marBottom w:val="0"/>
      <w:divBdr>
        <w:top w:val="none" w:sz="0" w:space="0" w:color="auto"/>
        <w:left w:val="none" w:sz="0" w:space="0" w:color="auto"/>
        <w:bottom w:val="none" w:sz="0" w:space="0" w:color="auto"/>
        <w:right w:val="none" w:sz="0" w:space="0" w:color="auto"/>
      </w:divBdr>
    </w:div>
    <w:div w:id="1097170668">
      <w:bodyDiv w:val="1"/>
      <w:marLeft w:val="0"/>
      <w:marRight w:val="0"/>
      <w:marTop w:val="0"/>
      <w:marBottom w:val="0"/>
      <w:divBdr>
        <w:top w:val="none" w:sz="0" w:space="0" w:color="auto"/>
        <w:left w:val="none" w:sz="0" w:space="0" w:color="auto"/>
        <w:bottom w:val="none" w:sz="0" w:space="0" w:color="auto"/>
        <w:right w:val="none" w:sz="0" w:space="0" w:color="auto"/>
      </w:divBdr>
    </w:div>
    <w:div w:id="1113329738">
      <w:bodyDiv w:val="1"/>
      <w:marLeft w:val="0"/>
      <w:marRight w:val="0"/>
      <w:marTop w:val="0"/>
      <w:marBottom w:val="0"/>
      <w:divBdr>
        <w:top w:val="none" w:sz="0" w:space="0" w:color="auto"/>
        <w:left w:val="none" w:sz="0" w:space="0" w:color="auto"/>
        <w:bottom w:val="none" w:sz="0" w:space="0" w:color="auto"/>
        <w:right w:val="none" w:sz="0" w:space="0" w:color="auto"/>
      </w:divBdr>
    </w:div>
    <w:div w:id="1118448479">
      <w:bodyDiv w:val="1"/>
      <w:marLeft w:val="0"/>
      <w:marRight w:val="0"/>
      <w:marTop w:val="0"/>
      <w:marBottom w:val="0"/>
      <w:divBdr>
        <w:top w:val="none" w:sz="0" w:space="0" w:color="auto"/>
        <w:left w:val="none" w:sz="0" w:space="0" w:color="auto"/>
        <w:bottom w:val="none" w:sz="0" w:space="0" w:color="auto"/>
        <w:right w:val="none" w:sz="0" w:space="0" w:color="auto"/>
      </w:divBdr>
    </w:div>
    <w:div w:id="1371103334">
      <w:bodyDiv w:val="1"/>
      <w:marLeft w:val="0"/>
      <w:marRight w:val="0"/>
      <w:marTop w:val="0"/>
      <w:marBottom w:val="0"/>
      <w:divBdr>
        <w:top w:val="none" w:sz="0" w:space="0" w:color="auto"/>
        <w:left w:val="none" w:sz="0" w:space="0" w:color="auto"/>
        <w:bottom w:val="none" w:sz="0" w:space="0" w:color="auto"/>
        <w:right w:val="none" w:sz="0" w:space="0" w:color="auto"/>
      </w:divBdr>
    </w:div>
    <w:div w:id="1373119339">
      <w:bodyDiv w:val="1"/>
      <w:marLeft w:val="0"/>
      <w:marRight w:val="0"/>
      <w:marTop w:val="0"/>
      <w:marBottom w:val="0"/>
      <w:divBdr>
        <w:top w:val="none" w:sz="0" w:space="0" w:color="auto"/>
        <w:left w:val="none" w:sz="0" w:space="0" w:color="auto"/>
        <w:bottom w:val="none" w:sz="0" w:space="0" w:color="auto"/>
        <w:right w:val="none" w:sz="0" w:space="0" w:color="auto"/>
      </w:divBdr>
    </w:div>
    <w:div w:id="1449930596">
      <w:bodyDiv w:val="1"/>
      <w:marLeft w:val="0"/>
      <w:marRight w:val="0"/>
      <w:marTop w:val="0"/>
      <w:marBottom w:val="0"/>
      <w:divBdr>
        <w:top w:val="none" w:sz="0" w:space="0" w:color="auto"/>
        <w:left w:val="none" w:sz="0" w:space="0" w:color="auto"/>
        <w:bottom w:val="none" w:sz="0" w:space="0" w:color="auto"/>
        <w:right w:val="none" w:sz="0" w:space="0" w:color="auto"/>
      </w:divBdr>
    </w:div>
    <w:div w:id="1838300041">
      <w:bodyDiv w:val="1"/>
      <w:marLeft w:val="0"/>
      <w:marRight w:val="0"/>
      <w:marTop w:val="0"/>
      <w:marBottom w:val="0"/>
      <w:divBdr>
        <w:top w:val="none" w:sz="0" w:space="0" w:color="auto"/>
        <w:left w:val="none" w:sz="0" w:space="0" w:color="auto"/>
        <w:bottom w:val="none" w:sz="0" w:space="0" w:color="auto"/>
        <w:right w:val="none" w:sz="0" w:space="0" w:color="auto"/>
      </w:divBdr>
    </w:div>
    <w:div w:id="1880585661">
      <w:bodyDiv w:val="1"/>
      <w:marLeft w:val="0"/>
      <w:marRight w:val="0"/>
      <w:marTop w:val="0"/>
      <w:marBottom w:val="0"/>
      <w:divBdr>
        <w:top w:val="none" w:sz="0" w:space="0" w:color="auto"/>
        <w:left w:val="none" w:sz="0" w:space="0" w:color="auto"/>
        <w:bottom w:val="none" w:sz="0" w:space="0" w:color="auto"/>
        <w:right w:val="none" w:sz="0" w:space="0" w:color="auto"/>
      </w:divBdr>
    </w:div>
    <w:div w:id="1902476450">
      <w:bodyDiv w:val="1"/>
      <w:marLeft w:val="0"/>
      <w:marRight w:val="0"/>
      <w:marTop w:val="0"/>
      <w:marBottom w:val="0"/>
      <w:divBdr>
        <w:top w:val="none" w:sz="0" w:space="0" w:color="auto"/>
        <w:left w:val="none" w:sz="0" w:space="0" w:color="auto"/>
        <w:bottom w:val="none" w:sz="0" w:space="0" w:color="auto"/>
        <w:right w:val="none" w:sz="0" w:space="0" w:color="auto"/>
      </w:divBdr>
    </w:div>
    <w:div w:id="2031950788">
      <w:bodyDiv w:val="1"/>
      <w:marLeft w:val="0"/>
      <w:marRight w:val="0"/>
      <w:marTop w:val="0"/>
      <w:marBottom w:val="0"/>
      <w:divBdr>
        <w:top w:val="none" w:sz="0" w:space="0" w:color="auto"/>
        <w:left w:val="none" w:sz="0" w:space="0" w:color="auto"/>
        <w:bottom w:val="none" w:sz="0" w:space="0" w:color="auto"/>
        <w:right w:val="none" w:sz="0" w:space="0" w:color="auto"/>
      </w:divBdr>
    </w:div>
    <w:div w:id="205430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economy.samregion.ru/" TargetMode="External"/><Relationship Id="rId39" Type="http://schemas.openxmlformats.org/officeDocument/2006/relationships/image" Target="media/image8.png"/><Relationship Id="rId21" Type="http://schemas.openxmlformats.org/officeDocument/2006/relationships/chart" Target="charts/chart11.xml"/><Relationship Id="rId34" Type="http://schemas.openxmlformats.org/officeDocument/2006/relationships/chart" Target="charts/chart20.xml"/><Relationship Id="rId42" Type="http://schemas.openxmlformats.org/officeDocument/2006/relationships/hyperlink" Target="http://economy.samregion.ru/" TargetMode="External"/><Relationship Id="rId47" Type="http://schemas.openxmlformats.org/officeDocument/2006/relationships/chart" Target="charts/chart29.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image" Target="media/image9.pn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5.xml"/><Relationship Id="rId45" Type="http://schemas.openxmlformats.org/officeDocument/2006/relationships/hyperlink" Target="http://kladovaia-krasoti.ru/2011/08/zelenaya-glina-v-kosmetologii/" TargetMode="Externa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6.png"/><Relationship Id="rId36" Type="http://schemas.openxmlformats.org/officeDocument/2006/relationships/chart" Target="charts/chart22.xml"/><Relationship Id="rId49" Type="http://schemas.openxmlformats.org/officeDocument/2006/relationships/chart" Target="charts/chart30.xml"/><Relationship Id="rId57" Type="http://schemas.openxmlformats.org/officeDocument/2006/relationships/chart" Target="charts/chart38.xml"/><Relationship Id="rId61" Type="http://schemas.openxmlformats.org/officeDocument/2006/relationships/chart" Target="charts/chart42.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17.xml"/><Relationship Id="rId44" Type="http://schemas.openxmlformats.org/officeDocument/2006/relationships/hyperlink" Target="http://prostoysovet.ru/index.php?option=com_content&amp;view=article&amp;id=101:2011-02-01-15-23-57&amp;catid=45&amp;Itemid=64" TargetMode="Externa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5.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5.png"/><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7.xml"/><Relationship Id="rId48" Type="http://schemas.openxmlformats.org/officeDocument/2006/relationships/hyperlink" Target="http://economy.samregion.ru/" TargetMode="External"/><Relationship Id="rId56" Type="http://schemas.openxmlformats.org/officeDocument/2006/relationships/chart" Target="charts/chart37.xml"/><Relationship Id="rId64" Type="http://schemas.openxmlformats.org/officeDocument/2006/relationships/chart" Target="charts/chart44.xml"/><Relationship Id="rId8" Type="http://schemas.openxmlformats.org/officeDocument/2006/relationships/image" Target="media/image2.jpeg"/><Relationship Id="rId51" Type="http://schemas.openxmlformats.org/officeDocument/2006/relationships/chart" Target="charts/chart32.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www.gks.ru/bgd/regl/b18_02/Main.htm" TargetMode="Externa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28.xml"/><Relationship Id="rId59" Type="http://schemas.openxmlformats.org/officeDocument/2006/relationships/chart" Target="charts/chart40.xml"/><Relationship Id="rId67"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chart" Target="charts/chart26.xml"/><Relationship Id="rId54" Type="http://schemas.openxmlformats.org/officeDocument/2006/relationships/chart" Target="charts/chart35.xml"/><Relationship Id="rId62" Type="http://schemas.openxmlformats.org/officeDocument/2006/relationships/chart" Target="charts/chart43.xml"/></Relationships>
</file>

<file path=word/charts/_rels/chart1.xml.rels><?xml version="1.0" encoding="UTF-8" standalone="yes"?>
<Relationships xmlns="http://schemas.openxmlformats.org/package/2006/relationships"><Relationship Id="rId2" Type="http://schemas.openxmlformats.org/officeDocument/2006/relationships/oleObject" Target="file:///D:\NADIN\SGEU\&#1055;&#1086;&#1083;&#1103;&#1085;&#1089;&#1082;&#1086;&#1074;&#1072;\&#1058;&#1072;&#1073;&#1083;_&#1050;&#1072;&#1084;&#1099;&#1096;&#1083;_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515151515.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NADIN\SGEU\&#1055;&#1086;&#1083;&#1103;&#1085;&#1089;&#1082;&#1086;&#1074;&#1072;\&#1050;&#1072;&#1084;&#1099;&#1096;&#1083;&#1080;&#1085;&#1089;&#1082;&#1080;&#1081;%20&#1088;&#1072;&#1081;&#1086;&#1085;\&#1058;&#1072;&#1073;&#1083;_&#1050;&#1072;&#1084;&#1099;&#1096;&#1083;_1.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NADIN\SGEU\&#1055;&#1086;&#1083;&#1103;&#1085;&#1089;&#1082;&#1086;&#1074;&#1072;\&#1050;&#1072;&#1084;&#1099;&#1096;&#1083;&#1080;&#1085;&#1089;&#1082;&#1080;&#1081;%20&#1088;&#1072;&#1081;&#1086;&#1085;\&#1058;&#1072;&#1073;&#1083;_&#1050;&#1072;&#1084;&#1099;&#1096;&#1083;_1.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616161616.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717171717.xlsx"/></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818181818.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D:\NADIN\SGEU\&#1055;&#1086;&#1083;&#1103;&#1085;&#1089;&#1082;&#1086;&#1074;&#1072;\&#1050;&#1072;&#1084;&#1099;&#1096;&#1083;&#1080;&#1085;&#1089;&#1082;&#1080;&#1081;%20&#1088;&#1072;&#1081;&#1086;&#1085;\&#1058;&#1072;&#1073;&#1083;_&#1050;&#1072;&#1084;&#1099;&#1096;&#1083;_2_0506.xlsx" TargetMode="External"/><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Excel919191919.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Excel10110110110110.xlsx"/></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_____Microsoft_Excel11111111111111.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1111111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_____Microsoft_Excel12112112112112.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3113113113113.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_____Microsoft_Excel14114114114114.xlsx"/></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_____Microsoft_Excel15115115115115.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oleObject" Target="file:///D:\NADIN\SGEU\&#1055;&#1086;&#1083;&#1103;&#1085;&#1089;&#1082;&#1086;&#1074;&#1072;\&#1075;&#1088;&#1072;&#1092;&#1080;&#1082;&#1080;_&#1063;&#1050;_&#1050;&#1072;&#1084;&#1099;&#1096;&#1083;_1.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5.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6.xml"/></Relationships>
</file>

<file path=word/charts/_rels/chart33.xml.rels><?xml version="1.0" encoding="UTF-8" standalone="yes"?>
<Relationships xmlns="http://schemas.openxmlformats.org/package/2006/relationships"><Relationship Id="rId1" Type="http://schemas.openxmlformats.org/officeDocument/2006/relationships/oleObject" Target="file:///D:\&#1085;&#1080;&#1088;2018\&#1053;&#1048;&#1056;_&#1089;&#1090;&#1088;&#1072;&#1090;&#1077;&#1075;&#1080;&#1103;_&#1082;&#1072;&#1084;&#1099;&#1096;&#1083;&#1099;\&#1075;&#1088;&#1072;&#1092;&#1080;&#1082;&#1080;_&#1084;&#1086;&#1080;.xls"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7.xml"/></Relationships>
</file>

<file path=word/charts/_rels/chart35.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8.xml"/></Relationships>
</file>

<file path=word/charts/_rels/chart36.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9.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D:\&#1085;&#1080;&#1088;2018\&#1053;&#1048;&#1056;_&#1089;&#1090;&#1088;&#1072;&#1090;&#1077;&#1075;&#1080;&#1103;_&#1082;&#1072;&#1084;&#1099;&#1096;&#1083;&#1099;\&#1075;&#1088;&#1072;&#1092;&#1080;&#1082;&#1080;.xls" TargetMode="External"/><Relationship Id="rId1" Type="http://schemas.openxmlformats.org/officeDocument/2006/relationships/themeOverride" Target="../theme/themeOverride30.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D:\&#1085;&#1080;&#1088;2018\&#1053;&#1048;&#1056;_&#1089;&#1090;&#1088;&#1072;&#1090;&#1077;&#1075;&#1080;&#1103;_&#1082;&#1072;&#1084;&#1099;&#1096;&#1083;&#1099;\&#1075;&#1088;&#1072;&#1092;&#1080;&#1082;&#1080;.xls" TargetMode="External"/><Relationship Id="rId1" Type="http://schemas.openxmlformats.org/officeDocument/2006/relationships/themeOverride" Target="../theme/themeOverride31.xml"/></Relationships>
</file>

<file path=word/charts/_rels/chart39.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NADIN\SGEU\&#1055;&#1086;&#1083;&#1103;&#1085;&#1089;&#1082;&#1086;&#1074;&#1072;\&#1075;&#1088;&#1072;&#1092;&#1080;&#1082;&#1080;_&#1063;&#1050;_&#1050;&#1072;&#1084;&#1099;&#1096;&#1083;_1.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D:\&#1085;&#1080;&#1088;2018\&#1053;&#1048;&#1056;_&#1089;&#1090;&#1088;&#1072;&#1090;&#1077;&#1075;&#1080;&#1103;_&#1082;&#1072;&#1084;&#1099;&#1096;&#1083;&#1099;\&#1075;&#1088;&#1072;&#1092;&#1080;&#1082;&#1080;.xls" TargetMode="External"/><Relationship Id="rId1" Type="http://schemas.openxmlformats.org/officeDocument/2006/relationships/themeOverride" Target="../theme/themeOverride33.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34.xml"/></Relationships>
</file>

<file path=word/charts/_rels/chart42.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35.xml"/></Relationships>
</file>

<file path=word/charts/_rels/chart43.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36.xml"/></Relationships>
</file>

<file path=word/charts/_rels/chart44.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37.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D:\&#1085;&#1080;&#1088;2018\&#1053;&#1048;&#1056;_&#1089;&#1090;&#1088;&#1072;&#1090;&#1077;&#1075;&#1080;&#1103;_&#1082;&#1072;&#1084;&#1099;&#1096;&#1083;&#1099;\&#1075;&#1088;&#1072;&#1092;&#1080;&#1082;&#1080;.xls" TargetMode="External"/><Relationship Id="rId1" Type="http://schemas.openxmlformats.org/officeDocument/2006/relationships/themeOverride" Target="../theme/themeOverride38.xml"/></Relationships>
</file>

<file path=word/charts/_rels/chart5.xml.rels><?xml version="1.0" encoding="UTF-8" standalone="yes"?>
<Relationships xmlns="http://schemas.openxmlformats.org/package/2006/relationships"><Relationship Id="rId2" Type="http://schemas.openxmlformats.org/officeDocument/2006/relationships/oleObject" Target="file:///D:\NADIN\SGEU\&#1055;&#1086;&#1083;&#1103;&#1085;&#1089;&#1082;&#1086;&#1074;&#1072;\&#1075;&#1088;&#1072;&#1092;&#1080;&#1082;&#1080;_&#1063;&#1050;_&#1050;&#1072;&#1084;&#1099;&#1096;&#1083;_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21212121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313131313.xlsx"/></Relationships>
</file>

<file path=word/charts/_rels/chart8.xml.rels><?xml version="1.0" encoding="UTF-8" standalone="yes"?>
<Relationships xmlns="http://schemas.openxmlformats.org/package/2006/relationships"><Relationship Id="rId2" Type="http://schemas.openxmlformats.org/officeDocument/2006/relationships/oleObject" Target="file:///D:\NADIN\SGEU\&#1055;&#1086;&#1083;&#1103;&#1085;&#1089;&#1082;&#1086;&#1074;&#1072;\&#1052;&#1086;&#1080;%20&#1090;&#1072;&#1073;&#1083;%20&#1087;&#1086;%20&#1050;&#1072;&#1084;&#1099;&#1096;&#1083;&#1080;&#1085;&#1089;&#1082;&#1086;&#1084;&#1091;_2.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41414.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03015761467938"/>
          <c:y val="0.26791863088892032"/>
          <c:w val="0.74752946464650183"/>
          <c:h val="0.52244886599615459"/>
        </c:manualLayout>
      </c:layout>
      <c:lineChart>
        <c:grouping val="standard"/>
        <c:varyColors val="0"/>
        <c:ser>
          <c:idx val="0"/>
          <c:order val="0"/>
          <c:cat>
            <c:numRef>
              <c:f>Экология!$A$35:$A$45</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Экология!$B$35:$B$45</c:f>
              <c:numCache>
                <c:formatCode>General</c:formatCode>
                <c:ptCount val="11"/>
                <c:pt idx="0">
                  <c:v>6</c:v>
                </c:pt>
                <c:pt idx="1">
                  <c:v>7</c:v>
                </c:pt>
                <c:pt idx="2">
                  <c:v>7</c:v>
                </c:pt>
                <c:pt idx="3">
                  <c:v>7</c:v>
                </c:pt>
                <c:pt idx="4">
                  <c:v>7</c:v>
                </c:pt>
                <c:pt idx="5">
                  <c:v>5</c:v>
                </c:pt>
                <c:pt idx="6">
                  <c:v>5</c:v>
                </c:pt>
                <c:pt idx="7">
                  <c:v>5</c:v>
                </c:pt>
                <c:pt idx="8">
                  <c:v>6</c:v>
                </c:pt>
                <c:pt idx="9">
                  <c:v>7</c:v>
                </c:pt>
                <c:pt idx="10">
                  <c:v>7</c:v>
                </c:pt>
              </c:numCache>
            </c:numRef>
          </c:val>
          <c:smooth val="0"/>
        </c:ser>
        <c:dLbls>
          <c:showLegendKey val="0"/>
          <c:showVal val="0"/>
          <c:showCatName val="0"/>
          <c:showSerName val="0"/>
          <c:showPercent val="0"/>
          <c:showBubbleSize val="0"/>
        </c:dLbls>
        <c:hiLowLines/>
        <c:marker val="1"/>
        <c:smooth val="0"/>
        <c:axId val="273192064"/>
        <c:axId val="273193984"/>
      </c:lineChart>
      <c:catAx>
        <c:axId val="273192064"/>
        <c:scaling>
          <c:orientation val="minMax"/>
        </c:scaling>
        <c:delete val="0"/>
        <c:axPos val="b"/>
        <c:title>
          <c:tx>
            <c:rich>
              <a:bodyPr/>
              <a:lstStyle/>
              <a:p>
                <a:pPr>
                  <a:defRPr/>
                </a:pPr>
                <a:r>
                  <a:rPr lang="ru-RU"/>
                  <a:t>Годы</a:t>
                </a:r>
              </a:p>
            </c:rich>
          </c:tx>
          <c:overlay val="0"/>
        </c:title>
        <c:numFmt formatCode="General" sourceLinked="1"/>
        <c:majorTickMark val="none"/>
        <c:minorTickMark val="none"/>
        <c:tickLblPos val="nextTo"/>
        <c:crossAx val="273193984"/>
        <c:crosses val="autoZero"/>
        <c:auto val="1"/>
        <c:lblAlgn val="ctr"/>
        <c:lblOffset val="100"/>
        <c:noMultiLvlLbl val="0"/>
      </c:catAx>
      <c:valAx>
        <c:axId val="273193984"/>
        <c:scaling>
          <c:orientation val="minMax"/>
          <c:min val="4"/>
        </c:scaling>
        <c:delete val="0"/>
        <c:axPos val="l"/>
        <c:title>
          <c:tx>
            <c:rich>
              <a:bodyPr/>
              <a:lstStyle/>
              <a:p>
                <a:pPr>
                  <a:defRPr/>
                </a:pPr>
                <a:r>
                  <a:rPr lang="ru-RU"/>
                  <a:t>Количество обЪектов, имеющих выбросы в атмосферу, ед. </a:t>
                </a:r>
              </a:p>
            </c:rich>
          </c:tx>
          <c:overlay val="0"/>
        </c:title>
        <c:numFmt formatCode="General" sourceLinked="1"/>
        <c:majorTickMark val="out"/>
        <c:minorTickMark val="none"/>
        <c:tickLblPos val="nextTo"/>
        <c:crossAx val="273192064"/>
        <c:crosses val="autoZero"/>
        <c:crossBetween val="between"/>
      </c:valAx>
    </c:plotArea>
    <c:plotVisOnly val="1"/>
    <c:dispBlanksAs val="gap"/>
    <c:showDLblsOverMax val="0"/>
  </c:chart>
  <c:txPr>
    <a:bodyPr/>
    <a:lstStyle/>
    <a:p>
      <a:pPr>
        <a:defRPr sz="800" baseline="0">
          <a:solidFill>
            <a:sysClr val="windowText" lastClr="000000"/>
          </a:solidFill>
          <a:latin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2.8311965811965812E-2"/>
          <c:y val="0.57978904121120001"/>
          <c:w val="0.97168805262250091"/>
          <c:h val="0.37072313248459093"/>
        </c:manualLayout>
      </c:layout>
      <c:pie3DChart>
        <c:varyColors val="1"/>
        <c:ser>
          <c:idx val="0"/>
          <c:order val="0"/>
          <c:spPr>
            <a:gradFill>
              <a:gsLst>
                <a:gs pos="0">
                  <a:schemeClr val="tx2">
                    <a:lumMod val="75000"/>
                  </a:schemeClr>
                </a:gs>
                <a:gs pos="53000">
                  <a:srgbClr val="D4DEFF"/>
                </a:gs>
                <a:gs pos="83000">
                  <a:srgbClr val="D4DEFF"/>
                </a:gs>
                <a:gs pos="100000">
                  <a:srgbClr val="96AB94"/>
                </a:gs>
              </a:gsLst>
              <a:lin ang="5400000" scaled="0"/>
            </a:gradFill>
          </c:spPr>
          <c:explosion val="25"/>
          <c:dPt>
            <c:idx val="0"/>
            <c:bubble3D val="0"/>
            <c:spPr>
              <a:solidFill>
                <a:srgbClr val="C50000"/>
              </a:solidFill>
            </c:spPr>
          </c:dPt>
          <c:dPt>
            <c:idx val="1"/>
            <c:bubble3D val="0"/>
            <c:spPr>
              <a:solidFill>
                <a:srgbClr val="376092"/>
              </a:solidFill>
            </c:spPr>
          </c:dPt>
          <c:dPt>
            <c:idx val="2"/>
            <c:bubble3D val="0"/>
            <c:spPr>
              <a:solidFill>
                <a:srgbClr val="7F7F7F"/>
              </a:solidFill>
            </c:spPr>
          </c:dPt>
          <c:dPt>
            <c:idx val="3"/>
            <c:bubble3D val="0"/>
            <c:spPr>
              <a:solidFill>
                <a:srgbClr val="C50000"/>
              </a:solidFill>
            </c:spPr>
          </c:dPt>
          <c:dPt>
            <c:idx val="4"/>
            <c:bubble3D val="0"/>
            <c:spPr>
              <a:solidFill>
                <a:srgbClr val="376092"/>
              </a:solidFill>
            </c:spPr>
          </c:dPt>
          <c:dPt>
            <c:idx val="5"/>
            <c:bubble3D val="0"/>
            <c:spPr>
              <a:solidFill>
                <a:srgbClr val="7F7F7F"/>
              </a:solidFill>
            </c:spPr>
          </c:dPt>
          <c:dPt>
            <c:idx val="6"/>
            <c:bubble3D val="0"/>
            <c:spPr>
              <a:solidFill>
                <a:srgbClr val="C50000"/>
              </a:solidFill>
            </c:spPr>
          </c:dPt>
          <c:dPt>
            <c:idx val="7"/>
            <c:bubble3D val="0"/>
            <c:spPr>
              <a:solidFill>
                <a:srgbClr val="376092"/>
              </a:solidFill>
            </c:spPr>
          </c:dPt>
          <c:dPt>
            <c:idx val="8"/>
            <c:bubble3D val="0"/>
            <c:spPr>
              <a:solidFill>
                <a:srgbClr val="7F7F7F"/>
              </a:solidFill>
            </c:spPr>
          </c:dPt>
          <c:dLbls>
            <c:spPr>
              <a:noFill/>
            </c:spPr>
            <c:showLegendKey val="0"/>
            <c:showVal val="0"/>
            <c:showCatName val="0"/>
            <c:showSerName val="0"/>
            <c:showPercent val="1"/>
            <c:showBubbleSize val="0"/>
            <c:showLeaderLines val="1"/>
          </c:dLbls>
          <c:cat>
            <c:strRef>
              <c:f>ИП!$A$2:$A$10</c:f>
              <c:strCache>
                <c:ptCount val="9"/>
                <c:pt idx="0">
                  <c:v>50% опт. и розничн. торговля; ремонт автотрансп. ср-в, мотоциклов, бытовых изд-й и предм. личного пользования</c:v>
                </c:pt>
                <c:pt idx="1">
                  <c:v>15% сельское хозяйство, охота и лесное хозяйство</c:v>
                </c:pt>
                <c:pt idx="2">
                  <c:v>9% транспорт и связь</c:v>
                </c:pt>
                <c:pt idx="3">
                  <c:v>7% обрабатывающие производства</c:v>
                </c:pt>
                <c:pt idx="4">
                  <c:v>7% гостиницы и рестораны</c:v>
                </c:pt>
                <c:pt idx="5">
                  <c:v>6% предоставление прочих коммунальных, социальных и персональных услуг</c:v>
                </c:pt>
                <c:pt idx="6">
                  <c:v>3% операции с недвижимым имуществом, аренда и предоставление услуг</c:v>
                </c:pt>
                <c:pt idx="7">
                  <c:v>2% строительство</c:v>
                </c:pt>
                <c:pt idx="8">
                  <c:v>1,4% образование; финансовая деятельность; рыболовство, рыбоводство</c:v>
                </c:pt>
              </c:strCache>
            </c:strRef>
          </c:cat>
          <c:val>
            <c:numRef>
              <c:f>ИП!$B$2:$B$10</c:f>
              <c:numCache>
                <c:formatCode>General</c:formatCode>
                <c:ptCount val="9"/>
                <c:pt idx="0">
                  <c:v>105</c:v>
                </c:pt>
                <c:pt idx="1">
                  <c:v>32</c:v>
                </c:pt>
                <c:pt idx="2">
                  <c:v>19</c:v>
                </c:pt>
                <c:pt idx="3">
                  <c:v>15</c:v>
                </c:pt>
                <c:pt idx="4">
                  <c:v>14</c:v>
                </c:pt>
                <c:pt idx="5">
                  <c:v>12</c:v>
                </c:pt>
                <c:pt idx="6">
                  <c:v>7</c:v>
                </c:pt>
                <c:pt idx="7">
                  <c:v>4</c:v>
                </c:pt>
                <c:pt idx="8">
                  <c:v>3</c:v>
                </c:pt>
              </c:numCache>
            </c:numRef>
          </c:val>
        </c:ser>
        <c:dLbls>
          <c:showLegendKey val="0"/>
          <c:showVal val="0"/>
          <c:showCatName val="0"/>
          <c:showSerName val="0"/>
          <c:showPercent val="0"/>
          <c:showBubbleSize val="0"/>
          <c:showLeaderLines val="1"/>
        </c:dLbls>
      </c:pie3DChart>
      <c:spPr>
        <a:noFill/>
        <a:ln w="25398">
          <a:noFill/>
        </a:ln>
      </c:spPr>
    </c:plotArea>
    <c:legend>
      <c:legendPos val="t"/>
      <c:layout>
        <c:manualLayout>
          <c:xMode val="edge"/>
          <c:yMode val="edge"/>
          <c:x val="8.2557462743935595E-3"/>
          <c:y val="0.10288865126427099"/>
          <c:w val="0.94506001603356193"/>
          <c:h val="0.49761813723901904"/>
        </c:manualLayout>
      </c:layout>
      <c:overlay val="0"/>
    </c:legend>
    <c:plotVisOnly val="1"/>
    <c:dispBlanksAs val="zero"/>
    <c:showDLblsOverMax val="0"/>
  </c:chart>
  <c:txPr>
    <a:bodyPr/>
    <a:lstStyle/>
    <a:p>
      <a:pPr>
        <a:defRPr sz="800" baseline="0">
          <a:latin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369489032684353E-2"/>
          <c:y val="9.9702530682921703E-2"/>
          <c:w val="0.8112327741534352"/>
          <c:h val="0.75925313849141862"/>
        </c:manualLayout>
      </c:layout>
      <c:scatterChart>
        <c:scatterStyle val="lineMarker"/>
        <c:varyColors val="0"/>
        <c:ser>
          <c:idx val="0"/>
          <c:order val="0"/>
          <c:tx>
            <c:strRef>
              <c:f>Безработица!$A$2</c:f>
              <c:strCache>
                <c:ptCount val="1"/>
                <c:pt idx="0">
                  <c:v>Алексеевский</c:v>
                </c:pt>
              </c:strCache>
            </c:strRef>
          </c:tx>
          <c:spPr>
            <a:ln w="47625">
              <a:noFill/>
            </a:ln>
          </c:spPr>
          <c:marker>
            <c:symbol val="circle"/>
            <c:size val="6"/>
            <c:spPr>
              <a:solidFill>
                <a:schemeClr val="accent1">
                  <a:lumMod val="50000"/>
                </a:schemeClr>
              </a:solidFill>
              <a:ln>
                <a:noFill/>
              </a:ln>
            </c:spPr>
          </c:marker>
          <c:dLbls>
            <c:dLbl>
              <c:idx val="0"/>
              <c:layout>
                <c:manualLayout>
                  <c:x val="-9.2220483464027073E-2"/>
                  <c:y val="2.398500465063580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c:f>
              <c:numCache>
                <c:formatCode>0.0</c:formatCode>
                <c:ptCount val="1"/>
                <c:pt idx="0">
                  <c:v>0</c:v>
                </c:pt>
              </c:numCache>
            </c:numRef>
          </c:xVal>
          <c:yVal>
            <c:numRef>
              <c:f>Безработица!$B$2</c:f>
              <c:numCache>
                <c:formatCode>0.0</c:formatCode>
                <c:ptCount val="1"/>
                <c:pt idx="0">
                  <c:v>2.2999999999999998</c:v>
                </c:pt>
              </c:numCache>
            </c:numRef>
          </c:yVal>
          <c:smooth val="0"/>
        </c:ser>
        <c:ser>
          <c:idx val="1"/>
          <c:order val="1"/>
          <c:tx>
            <c:strRef>
              <c:f>Безработица!$A$3</c:f>
              <c:strCache>
                <c:ptCount val="1"/>
                <c:pt idx="0">
                  <c:v>Безенчукский</c:v>
                </c:pt>
              </c:strCache>
            </c:strRef>
          </c:tx>
          <c:spPr>
            <a:ln w="47625">
              <a:noFill/>
            </a:ln>
          </c:spPr>
          <c:marker>
            <c:symbol val="circle"/>
            <c:size val="6"/>
            <c:spPr>
              <a:solidFill>
                <a:schemeClr val="accent1">
                  <a:lumMod val="50000"/>
                </a:schemeClr>
              </a:solidFill>
              <a:ln>
                <a:noFill/>
              </a:ln>
            </c:spPr>
          </c:marker>
          <c:dLbls>
            <c:dLbl>
              <c:idx val="0"/>
              <c:layout>
                <c:manualLayout>
                  <c:x val="-7.4049344714469875E-2"/>
                  <c:y val="-3.785133546428471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Безработица!$G$3</c:f>
              <c:numCache>
                <c:formatCode>0.0</c:formatCode>
                <c:ptCount val="1"/>
                <c:pt idx="0">
                  <c:v>-6.4702138354384093</c:v>
                </c:pt>
              </c:numCache>
            </c:numRef>
          </c:xVal>
          <c:yVal>
            <c:numRef>
              <c:f>Безработица!$B$3</c:f>
              <c:numCache>
                <c:formatCode>0.0</c:formatCode>
                <c:ptCount val="1"/>
                <c:pt idx="0">
                  <c:v>0.9</c:v>
                </c:pt>
              </c:numCache>
            </c:numRef>
          </c:yVal>
          <c:smooth val="0"/>
        </c:ser>
        <c:ser>
          <c:idx val="2"/>
          <c:order val="2"/>
          <c:tx>
            <c:strRef>
              <c:f>Безработица!$A$4</c:f>
              <c:strCache>
                <c:ptCount val="1"/>
                <c:pt idx="0">
                  <c:v>Богатовский</c:v>
                </c:pt>
              </c:strCache>
            </c:strRef>
          </c:tx>
          <c:spPr>
            <a:ln w="47625">
              <a:noFill/>
            </a:ln>
          </c:spPr>
          <c:marker>
            <c:symbol val="circle"/>
            <c:size val="6"/>
            <c:spPr>
              <a:solidFill>
                <a:schemeClr val="accent1">
                  <a:lumMod val="50000"/>
                </a:schemeClr>
              </a:solidFill>
              <a:ln>
                <a:noFill/>
              </a:ln>
            </c:spPr>
          </c:marker>
          <c:dLbls>
            <c:dLbl>
              <c:idx val="0"/>
              <c:layout>
                <c:manualLayout>
                  <c:x val="-3.9495529829584181E-2"/>
                  <c:y val="-3.785133546428478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Безработица!$G$4</c:f>
              <c:numCache>
                <c:formatCode>0.0</c:formatCode>
                <c:ptCount val="1"/>
                <c:pt idx="0">
                  <c:v>-10.858645979343978</c:v>
                </c:pt>
              </c:numCache>
            </c:numRef>
          </c:xVal>
          <c:yVal>
            <c:numRef>
              <c:f>Безработица!$B$4</c:f>
              <c:numCache>
                <c:formatCode>0.0</c:formatCode>
                <c:ptCount val="1"/>
                <c:pt idx="0">
                  <c:v>1.7</c:v>
                </c:pt>
              </c:numCache>
            </c:numRef>
          </c:yVal>
          <c:smooth val="0"/>
        </c:ser>
        <c:ser>
          <c:idx val="3"/>
          <c:order val="3"/>
          <c:tx>
            <c:strRef>
              <c:f>Безработица!$A$5</c:f>
              <c:strCache>
                <c:ptCount val="1"/>
                <c:pt idx="0">
                  <c:v>Большеглушицкий</c:v>
                </c:pt>
              </c:strCache>
            </c:strRef>
          </c:tx>
          <c:spPr>
            <a:ln w="47625">
              <a:noFill/>
            </a:ln>
          </c:spPr>
          <c:marker>
            <c:symbol val="circle"/>
            <c:size val="6"/>
            <c:spPr>
              <a:solidFill>
                <a:schemeClr val="accent1">
                  <a:lumMod val="50000"/>
                </a:schemeClr>
              </a:solidFill>
              <a:ln>
                <a:noFill/>
              </a:ln>
            </c:spPr>
          </c:marker>
          <c:dLbls>
            <c:dLbl>
              <c:idx val="0"/>
              <c:layout>
                <c:manualLayout>
                  <c:x val="6.3984827382429429E-3"/>
                  <c:y val="-3.7476569766621922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Безработица!$G$5</c:f>
              <c:numCache>
                <c:formatCode>0.0</c:formatCode>
                <c:ptCount val="1"/>
                <c:pt idx="0">
                  <c:v>-3.8500286461727762</c:v>
                </c:pt>
              </c:numCache>
            </c:numRef>
          </c:xVal>
          <c:yVal>
            <c:numRef>
              <c:f>Безработица!$B$5</c:f>
              <c:numCache>
                <c:formatCode>0.0</c:formatCode>
                <c:ptCount val="1"/>
                <c:pt idx="0">
                  <c:v>3.2</c:v>
                </c:pt>
              </c:numCache>
            </c:numRef>
          </c:yVal>
          <c:smooth val="0"/>
        </c:ser>
        <c:ser>
          <c:idx val="4"/>
          <c:order val="4"/>
          <c:tx>
            <c:strRef>
              <c:f>Безработица!$A$6</c:f>
              <c:strCache>
                <c:ptCount val="1"/>
                <c:pt idx="0">
                  <c:v>Большечерниговский</c:v>
                </c:pt>
              </c:strCache>
            </c:strRef>
          </c:tx>
          <c:spPr>
            <a:ln w="47625">
              <a:noFill/>
            </a:ln>
          </c:spPr>
          <c:marker>
            <c:symbol val="circle"/>
            <c:size val="6"/>
            <c:spPr>
              <a:solidFill>
                <a:schemeClr val="accent1">
                  <a:lumMod val="50000"/>
                </a:schemeClr>
              </a:solidFill>
              <a:ln>
                <a:noFill/>
              </a:ln>
            </c:spPr>
          </c:marker>
          <c:dLbls>
            <c:dLbl>
              <c:idx val="0"/>
              <c:layout>
                <c:manualLayout>
                  <c:x val="-5.8406975560009273E-3"/>
                  <c:y val="7.1205482556574865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Безработица!$G$6</c:f>
              <c:numCache>
                <c:formatCode>0.0</c:formatCode>
                <c:ptCount val="1"/>
                <c:pt idx="0">
                  <c:v>11.678316506545784</c:v>
                </c:pt>
              </c:numCache>
            </c:numRef>
          </c:xVal>
          <c:yVal>
            <c:numRef>
              <c:f>Безработица!$B$6</c:f>
              <c:numCache>
                <c:formatCode>0.0</c:formatCode>
                <c:ptCount val="1"/>
                <c:pt idx="0">
                  <c:v>3.9</c:v>
                </c:pt>
              </c:numCache>
            </c:numRef>
          </c:yVal>
          <c:smooth val="0"/>
        </c:ser>
        <c:ser>
          <c:idx val="5"/>
          <c:order val="5"/>
          <c:tx>
            <c:strRef>
              <c:f>Безработица!$A$7</c:f>
              <c:strCache>
                <c:ptCount val="1"/>
                <c:pt idx="0">
                  <c:v>Борский</c:v>
                </c:pt>
              </c:strCache>
            </c:strRef>
          </c:tx>
          <c:spPr>
            <a:ln w="47625">
              <a:noFill/>
            </a:ln>
          </c:spPr>
          <c:marker>
            <c:symbol val="circle"/>
            <c:size val="6"/>
            <c:spPr>
              <a:solidFill>
                <a:schemeClr val="accent1">
                  <a:lumMod val="50000"/>
                </a:schemeClr>
              </a:solidFill>
              <a:ln>
                <a:noFill/>
              </a:ln>
            </c:spPr>
          </c:marker>
          <c:dLbls>
            <c:dLbl>
              <c:idx val="0"/>
              <c:layout>
                <c:manualLayout>
                  <c:x val="-0.1008615817790893"/>
                  <c:y val="1.0868205232319359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Безработица!$G$7</c:f>
              <c:numCache>
                <c:formatCode>0.0</c:formatCode>
                <c:ptCount val="1"/>
                <c:pt idx="0">
                  <c:v>-3.1270693848535758</c:v>
                </c:pt>
              </c:numCache>
            </c:numRef>
          </c:xVal>
          <c:yVal>
            <c:numRef>
              <c:f>Безработица!$B$7</c:f>
              <c:numCache>
                <c:formatCode>0.0</c:formatCode>
                <c:ptCount val="1"/>
                <c:pt idx="0">
                  <c:v>2</c:v>
                </c:pt>
              </c:numCache>
            </c:numRef>
          </c:yVal>
          <c:smooth val="0"/>
        </c:ser>
        <c:ser>
          <c:idx val="6"/>
          <c:order val="6"/>
          <c:tx>
            <c:strRef>
              <c:f>Безработица!$A$8</c:f>
              <c:strCache>
                <c:ptCount val="1"/>
                <c:pt idx="0">
                  <c:v>Волжский</c:v>
                </c:pt>
              </c:strCache>
            </c:strRef>
          </c:tx>
          <c:spPr>
            <a:ln w="47625">
              <a:noFill/>
            </a:ln>
          </c:spPr>
          <c:marker>
            <c:symbol val="circle"/>
            <c:size val="6"/>
            <c:spPr>
              <a:solidFill>
                <a:schemeClr val="accent1">
                  <a:lumMod val="50000"/>
                </a:schemeClr>
              </a:solidFill>
              <a:ln>
                <a:noFill/>
              </a:ln>
            </c:spPr>
          </c:marker>
          <c:dLbls>
            <c:dLbl>
              <c:idx val="0"/>
              <c:layout>
                <c:manualLayout>
                  <c:x val="-5.1056976922646886E-2"/>
                  <c:y val="-5.284196337093187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Безработица!$G$8</c:f>
              <c:numCache>
                <c:formatCode>0.0</c:formatCode>
                <c:ptCount val="1"/>
                <c:pt idx="0">
                  <c:v>-9.1439703583930019</c:v>
                </c:pt>
              </c:numCache>
            </c:numRef>
          </c:xVal>
          <c:yVal>
            <c:numRef>
              <c:f>Безработица!$B$8</c:f>
              <c:numCache>
                <c:formatCode>0.0</c:formatCode>
                <c:ptCount val="1"/>
                <c:pt idx="0">
                  <c:v>0.30000000000000032</c:v>
                </c:pt>
              </c:numCache>
            </c:numRef>
          </c:yVal>
          <c:smooth val="0"/>
        </c:ser>
        <c:ser>
          <c:idx val="7"/>
          <c:order val="7"/>
          <c:tx>
            <c:strRef>
              <c:f>Безработица!$A$9</c:f>
              <c:strCache>
                <c:ptCount val="1"/>
                <c:pt idx="0">
                  <c:v>Елховский</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Безработица!$G$9</c:f>
              <c:numCache>
                <c:formatCode>0.0</c:formatCode>
                <c:ptCount val="1"/>
                <c:pt idx="0">
                  <c:v>-8.5539796083233508</c:v>
                </c:pt>
              </c:numCache>
            </c:numRef>
          </c:xVal>
          <c:yVal>
            <c:numRef>
              <c:f>Безработица!$B$9</c:f>
              <c:numCache>
                <c:formatCode>0.0</c:formatCode>
                <c:ptCount val="1"/>
                <c:pt idx="0">
                  <c:v>1.3</c:v>
                </c:pt>
              </c:numCache>
            </c:numRef>
          </c:yVal>
          <c:smooth val="0"/>
        </c:ser>
        <c:ser>
          <c:idx val="8"/>
          <c:order val="8"/>
          <c:tx>
            <c:strRef>
              <c:f>Безработица!$A$10</c:f>
              <c:strCache>
                <c:ptCount val="1"/>
                <c:pt idx="0">
                  <c:v>Исаклинский</c:v>
                </c:pt>
              </c:strCache>
            </c:strRef>
          </c:tx>
          <c:spPr>
            <a:ln w="47625">
              <a:noFill/>
            </a:ln>
          </c:spPr>
          <c:marker>
            <c:symbol val="circle"/>
            <c:size val="6"/>
          </c:marker>
          <c:dLbls>
            <c:dLbl>
              <c:idx val="0"/>
              <c:layout>
                <c:manualLayout>
                  <c:x val="-1.9810571226707971E-2"/>
                  <c:y val="-4.519195479098839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Безработица!$G$10</c:f>
              <c:numCache>
                <c:formatCode>0.0</c:formatCode>
                <c:ptCount val="1"/>
                <c:pt idx="0">
                  <c:v>0</c:v>
                </c:pt>
              </c:numCache>
            </c:numRef>
          </c:xVal>
          <c:yVal>
            <c:numRef>
              <c:f>Безработица!$B$10</c:f>
              <c:numCache>
                <c:formatCode>0.0</c:formatCode>
                <c:ptCount val="1"/>
                <c:pt idx="0">
                  <c:v>2.6</c:v>
                </c:pt>
              </c:numCache>
            </c:numRef>
          </c:yVal>
          <c:smooth val="0"/>
        </c:ser>
        <c:ser>
          <c:idx val="9"/>
          <c:order val="9"/>
          <c:tx>
            <c:strRef>
              <c:f>Безработица!$A$11</c:f>
              <c:strCache>
                <c:ptCount val="1"/>
                <c:pt idx="0">
                  <c:v>Камышлинский</c:v>
                </c:pt>
              </c:strCache>
            </c:strRef>
          </c:tx>
          <c:spPr>
            <a:ln w="47625">
              <a:noFill/>
            </a:ln>
          </c:spPr>
          <c:marker>
            <c:symbol val="circle"/>
            <c:size val="6"/>
            <c:spPr>
              <a:solidFill>
                <a:srgbClr val="FF0000"/>
              </a:solidFill>
              <a:ln>
                <a:noFill/>
              </a:ln>
            </c:spPr>
          </c:marker>
          <c:dLbls>
            <c:dLbl>
              <c:idx val="0"/>
              <c:layout>
                <c:manualLayout>
                  <c:x val="-2.2770401203711542E-3"/>
                  <c:y val="-3.7476569766618464E-4"/>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Безработица!$G$11</c:f>
              <c:numCache>
                <c:formatCode>0.0</c:formatCode>
                <c:ptCount val="1"/>
                <c:pt idx="0">
                  <c:v>1.5627524178942975</c:v>
                </c:pt>
              </c:numCache>
            </c:numRef>
          </c:xVal>
          <c:yVal>
            <c:numRef>
              <c:f>Безработица!$B$11</c:f>
              <c:numCache>
                <c:formatCode>0.0</c:formatCode>
                <c:ptCount val="1"/>
                <c:pt idx="0">
                  <c:v>2.2000000000000002</c:v>
                </c:pt>
              </c:numCache>
            </c:numRef>
          </c:yVal>
          <c:smooth val="0"/>
        </c:ser>
        <c:ser>
          <c:idx val="10"/>
          <c:order val="10"/>
          <c:tx>
            <c:strRef>
              <c:f>Безработица!$A$12</c:f>
              <c:strCache>
                <c:ptCount val="1"/>
                <c:pt idx="0">
                  <c:v>Кинельский </c:v>
                </c:pt>
              </c:strCache>
            </c:strRef>
          </c:tx>
          <c:spPr>
            <a:ln w="47625">
              <a:noFill/>
            </a:ln>
          </c:spPr>
          <c:marker>
            <c:symbol val="circle"/>
            <c:size val="6"/>
            <c:spPr>
              <a:solidFill>
                <a:schemeClr val="accent1">
                  <a:lumMod val="50000"/>
                </a:schemeClr>
              </a:solidFill>
              <a:ln>
                <a:noFill/>
              </a:ln>
            </c:spPr>
          </c:marker>
          <c:dLbls>
            <c:dLbl>
              <c:idx val="0"/>
              <c:layout>
                <c:manualLayout>
                  <c:x val="-3.5066417853716258E-3"/>
                  <c:y val="-1.536539360431366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Безработица!$G$12</c:f>
              <c:numCache>
                <c:formatCode>0.0</c:formatCode>
                <c:ptCount val="1"/>
                <c:pt idx="0">
                  <c:v>0</c:v>
                </c:pt>
              </c:numCache>
            </c:numRef>
          </c:xVal>
          <c:yVal>
            <c:numRef>
              <c:f>Безработица!$B$12</c:f>
              <c:numCache>
                <c:formatCode>0.0</c:formatCode>
                <c:ptCount val="1"/>
                <c:pt idx="0">
                  <c:v>1</c:v>
                </c:pt>
              </c:numCache>
            </c:numRef>
          </c:yVal>
          <c:smooth val="0"/>
        </c:ser>
        <c:ser>
          <c:idx val="11"/>
          <c:order val="11"/>
          <c:tx>
            <c:strRef>
              <c:f>Безработица!$A$13</c:f>
              <c:strCache>
                <c:ptCount val="1"/>
                <c:pt idx="0">
                  <c:v>Кинель-Черкасский</c:v>
                </c:pt>
              </c:strCache>
            </c:strRef>
          </c:tx>
          <c:spPr>
            <a:ln w="47625">
              <a:noFill/>
            </a:ln>
          </c:spPr>
          <c:marker>
            <c:symbol val="circle"/>
            <c:size val="6"/>
            <c:spPr>
              <a:solidFill>
                <a:schemeClr val="accent1">
                  <a:lumMod val="50000"/>
                </a:schemeClr>
              </a:solidFill>
              <a:ln>
                <a:noFill/>
              </a:ln>
            </c:spPr>
          </c:marker>
          <c:dLbls>
            <c:dLbl>
              <c:idx val="0"/>
              <c:layout>
                <c:manualLayout>
                  <c:x val="5.9203043129641927E-4"/>
                  <c:y val="-4.122422674328156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Безработица!$G$13</c:f>
              <c:numCache>
                <c:formatCode>0.0</c:formatCode>
                <c:ptCount val="1"/>
                <c:pt idx="0">
                  <c:v>0</c:v>
                </c:pt>
              </c:numCache>
            </c:numRef>
          </c:xVal>
          <c:yVal>
            <c:numRef>
              <c:f>Безработица!$B$13</c:f>
              <c:numCache>
                <c:formatCode>0.0</c:formatCode>
                <c:ptCount val="1"/>
                <c:pt idx="0">
                  <c:v>0.8</c:v>
                </c:pt>
              </c:numCache>
            </c:numRef>
          </c:yVal>
          <c:smooth val="0"/>
        </c:ser>
        <c:ser>
          <c:idx val="12"/>
          <c:order val="12"/>
          <c:tx>
            <c:strRef>
              <c:f>Безработица!$A$14</c:f>
              <c:strCache>
                <c:ptCount val="1"/>
                <c:pt idx="0">
                  <c:v>Клявлинский</c:v>
                </c:pt>
              </c:strCache>
            </c:strRef>
          </c:tx>
          <c:spPr>
            <a:ln w="47625">
              <a:noFill/>
            </a:ln>
          </c:spPr>
          <c:marker>
            <c:symbol val="circle"/>
            <c:size val="6"/>
            <c:spPr>
              <a:solidFill>
                <a:schemeClr val="accent1">
                  <a:lumMod val="50000"/>
                </a:schemeClr>
              </a:solidFill>
              <a:ln>
                <a:noFill/>
              </a:ln>
            </c:spPr>
          </c:marker>
          <c:dLbls>
            <c:dLbl>
              <c:idx val="0"/>
              <c:layout>
                <c:manualLayout>
                  <c:x val="-1.5085839033703947E-3"/>
                  <c:y val="-4.1224226743280185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Безработица!$G$14</c:f>
              <c:numCache>
                <c:formatCode>0.0</c:formatCode>
                <c:ptCount val="1"/>
                <c:pt idx="0">
                  <c:v>1.4287644623016875</c:v>
                </c:pt>
              </c:numCache>
            </c:numRef>
          </c:xVal>
          <c:yVal>
            <c:numRef>
              <c:f>Безработица!$B$14</c:f>
              <c:numCache>
                <c:formatCode>0.0</c:formatCode>
                <c:ptCount val="1"/>
                <c:pt idx="0">
                  <c:v>2.4</c:v>
                </c:pt>
              </c:numCache>
            </c:numRef>
          </c:yVal>
          <c:smooth val="0"/>
        </c:ser>
        <c:ser>
          <c:idx val="13"/>
          <c:order val="13"/>
          <c:tx>
            <c:strRef>
              <c:f>Безработица!$A$15</c:f>
              <c:strCache>
                <c:ptCount val="1"/>
                <c:pt idx="0">
                  <c:v>Кошкинский</c:v>
                </c:pt>
              </c:strCache>
            </c:strRef>
          </c:tx>
          <c:spPr>
            <a:ln w="47625">
              <a:noFill/>
            </a:ln>
          </c:spPr>
          <c:marker>
            <c:symbol val="circle"/>
            <c:size val="6"/>
            <c:spPr>
              <a:solidFill>
                <a:schemeClr val="accent1">
                  <a:lumMod val="50000"/>
                </a:schemeClr>
              </a:solidFill>
              <a:ln>
                <a:noFill/>
              </a:ln>
            </c:spPr>
          </c:marker>
          <c:dLbls>
            <c:dLbl>
              <c:idx val="0"/>
              <c:layout>
                <c:manualLayout>
                  <c:x val="7.3869333038812532E-5"/>
                  <c:y val="-7.8700796509898786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Безработица!$G$15</c:f>
              <c:numCache>
                <c:formatCode>0.0</c:formatCode>
                <c:ptCount val="1"/>
                <c:pt idx="0">
                  <c:v>1.9235467531193198</c:v>
                </c:pt>
              </c:numCache>
            </c:numRef>
          </c:xVal>
          <c:yVal>
            <c:numRef>
              <c:f>Безработица!$B$15</c:f>
              <c:numCache>
                <c:formatCode>0.0</c:formatCode>
                <c:ptCount val="1"/>
                <c:pt idx="0">
                  <c:v>1.8</c:v>
                </c:pt>
              </c:numCache>
            </c:numRef>
          </c:yVal>
          <c:smooth val="0"/>
        </c:ser>
        <c:ser>
          <c:idx val="14"/>
          <c:order val="14"/>
          <c:tx>
            <c:strRef>
              <c:f>Безработица!$A$16</c:f>
              <c:strCache>
                <c:ptCount val="1"/>
                <c:pt idx="0">
                  <c:v>Красноармейский</c:v>
                </c:pt>
              </c:strCache>
            </c:strRef>
          </c:tx>
          <c:spPr>
            <a:ln w="47625">
              <a:noFill/>
            </a:ln>
          </c:spPr>
          <c:marker>
            <c:symbol val="circle"/>
            <c:size val="6"/>
            <c:spPr>
              <a:solidFill>
                <a:schemeClr val="accent1">
                  <a:lumMod val="50000"/>
                </a:schemeClr>
              </a:solidFill>
              <a:ln>
                <a:noFill/>
              </a:ln>
            </c:spPr>
          </c:marker>
          <c:dLbls>
            <c:dLbl>
              <c:idx val="0"/>
              <c:layout>
                <c:manualLayout>
                  <c:x val="-1.3151251403876341E-3"/>
                  <c:y val="-4.122422674328087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Безработица!$G$16</c:f>
              <c:numCache>
                <c:formatCode>0.0</c:formatCode>
                <c:ptCount val="1"/>
                <c:pt idx="0">
                  <c:v>-1.6131853193803061</c:v>
                </c:pt>
              </c:numCache>
            </c:numRef>
          </c:xVal>
          <c:yVal>
            <c:numRef>
              <c:f>Безработица!$B$16</c:f>
              <c:numCache>
                <c:formatCode>0.0</c:formatCode>
                <c:ptCount val="1"/>
                <c:pt idx="0">
                  <c:v>2</c:v>
                </c:pt>
              </c:numCache>
            </c:numRef>
          </c:yVal>
          <c:smooth val="0"/>
        </c:ser>
        <c:ser>
          <c:idx val="15"/>
          <c:order val="15"/>
          <c:tx>
            <c:strRef>
              <c:f>Безработица!$A$17</c:f>
              <c:strCache>
                <c:ptCount val="1"/>
                <c:pt idx="0">
                  <c:v>Красноярский</c:v>
                </c:pt>
              </c:strCache>
            </c:strRef>
          </c:tx>
          <c:spPr>
            <a:ln w="47625">
              <a:noFill/>
            </a:ln>
          </c:spPr>
          <c:marker>
            <c:symbol val="circle"/>
            <c:size val="6"/>
            <c:spPr>
              <a:solidFill>
                <a:schemeClr val="accent1">
                  <a:lumMod val="50000"/>
                </a:schemeClr>
              </a:solidFill>
              <a:ln>
                <a:noFill/>
              </a:ln>
            </c:spPr>
          </c:marker>
          <c:dLbls>
            <c:dLbl>
              <c:idx val="0"/>
              <c:layout>
                <c:manualLayout>
                  <c:x val="-7.7863476563340667E-2"/>
                  <c:y val="4.084946104561400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Безработица!$G$17</c:f>
              <c:numCache>
                <c:formatCode>0.0</c:formatCode>
                <c:ptCount val="1"/>
                <c:pt idx="0">
                  <c:v>-3.4510615394370268</c:v>
                </c:pt>
              </c:numCache>
            </c:numRef>
          </c:xVal>
          <c:yVal>
            <c:numRef>
              <c:f>Безработица!$B$17</c:f>
              <c:numCache>
                <c:formatCode>0.0</c:formatCode>
                <c:ptCount val="1"/>
                <c:pt idx="0">
                  <c:v>0.9</c:v>
                </c:pt>
              </c:numCache>
            </c:numRef>
          </c:yVal>
          <c:smooth val="0"/>
        </c:ser>
        <c:ser>
          <c:idx val="16"/>
          <c:order val="16"/>
          <c:tx>
            <c:strRef>
              <c:f>Безработица!$A$18</c:f>
              <c:strCache>
                <c:ptCount val="1"/>
                <c:pt idx="0">
                  <c:v>Нефтегорский </c:v>
                </c:pt>
              </c:strCache>
            </c:strRef>
          </c:tx>
          <c:spPr>
            <a:ln w="47625">
              <a:noFill/>
            </a:ln>
          </c:spPr>
          <c:marker>
            <c:symbol val="circle"/>
            <c:size val="6"/>
            <c:spPr>
              <a:solidFill>
                <a:schemeClr val="accent1">
                  <a:lumMod val="50000"/>
                </a:schemeClr>
              </a:solidFill>
              <a:ln>
                <a:noFill/>
              </a:ln>
            </c:spPr>
          </c:marker>
          <c:dLbls>
            <c:dLbl>
              <c:idx val="0"/>
              <c:layout>
                <c:manualLayout>
                  <c:x val="-9.4506129720295113E-4"/>
                  <c:y val="-3.7476569766632092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Безработица!$G$18</c:f>
              <c:numCache>
                <c:formatCode>0.0</c:formatCode>
                <c:ptCount val="1"/>
                <c:pt idx="0">
                  <c:v>5.7264270346431383</c:v>
                </c:pt>
              </c:numCache>
            </c:numRef>
          </c:xVal>
          <c:yVal>
            <c:numRef>
              <c:f>Безработица!$B$18</c:f>
              <c:numCache>
                <c:formatCode>0.0</c:formatCode>
                <c:ptCount val="1"/>
                <c:pt idx="0">
                  <c:v>1.3</c:v>
                </c:pt>
              </c:numCache>
            </c:numRef>
          </c:yVal>
          <c:smooth val="0"/>
        </c:ser>
        <c:ser>
          <c:idx val="17"/>
          <c:order val="17"/>
          <c:tx>
            <c:strRef>
              <c:f>Безработица!$A$19</c:f>
              <c:strCache>
                <c:ptCount val="1"/>
                <c:pt idx="0">
                  <c:v>Пестравский</c:v>
                </c:pt>
              </c:strCache>
            </c:strRef>
          </c:tx>
          <c:spPr>
            <a:ln w="47625">
              <a:noFill/>
            </a:ln>
          </c:spPr>
          <c:marker>
            <c:symbol val="circle"/>
            <c:size val="6"/>
            <c:spPr>
              <a:solidFill>
                <a:schemeClr val="accent1">
                  <a:lumMod val="50000"/>
                </a:schemeClr>
              </a:solidFill>
              <a:ln>
                <a:noFill/>
              </a:ln>
            </c:spPr>
          </c:marker>
          <c:dLbls>
            <c:dLbl>
              <c:idx val="0"/>
              <c:layout>
                <c:manualLayout>
                  <c:x val="-6.5139239360744563E-3"/>
                  <c:y val="-7.8432318232294473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Безработица!$G$19</c:f>
              <c:numCache>
                <c:formatCode>0.0</c:formatCode>
                <c:ptCount val="1"/>
                <c:pt idx="0">
                  <c:v>0</c:v>
                </c:pt>
              </c:numCache>
            </c:numRef>
          </c:xVal>
          <c:yVal>
            <c:numRef>
              <c:f>Безработица!$B$19</c:f>
              <c:numCache>
                <c:formatCode>0.0</c:formatCode>
                <c:ptCount val="1"/>
                <c:pt idx="0">
                  <c:v>2.6</c:v>
                </c:pt>
              </c:numCache>
            </c:numRef>
          </c:yVal>
          <c:smooth val="0"/>
        </c:ser>
        <c:ser>
          <c:idx val="18"/>
          <c:order val="18"/>
          <c:tx>
            <c:strRef>
              <c:f>Безработица!$A$20</c:f>
              <c:strCache>
                <c:ptCount val="1"/>
                <c:pt idx="0">
                  <c:v>Похвистневский </c:v>
                </c:pt>
              </c:strCache>
            </c:strRef>
          </c:tx>
          <c:spPr>
            <a:ln w="47625">
              <a:noFill/>
            </a:ln>
          </c:spPr>
          <c:marker>
            <c:symbol val="circle"/>
            <c:size val="6"/>
            <c:spPr>
              <a:solidFill>
                <a:schemeClr val="accent1">
                  <a:lumMod val="50000"/>
                </a:schemeClr>
              </a:solidFill>
              <a:ln>
                <a:noFill/>
              </a:ln>
            </c:spPr>
          </c:marker>
          <c:dLbls>
            <c:dLbl>
              <c:idx val="0"/>
              <c:layout>
                <c:manualLayout>
                  <c:x val="-5.0635814147626898E-2"/>
                  <c:y val="4.084946104561416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Безработица!$G$20</c:f>
              <c:numCache>
                <c:formatCode>0.0</c:formatCode>
                <c:ptCount val="1"/>
                <c:pt idx="0">
                  <c:v>-5.8963971118971594</c:v>
                </c:pt>
              </c:numCache>
            </c:numRef>
          </c:xVal>
          <c:yVal>
            <c:numRef>
              <c:f>Безработица!$B$20</c:f>
              <c:numCache>
                <c:formatCode>0.0</c:formatCode>
                <c:ptCount val="1"/>
                <c:pt idx="0">
                  <c:v>1.5</c:v>
                </c:pt>
              </c:numCache>
            </c:numRef>
          </c:yVal>
          <c:smooth val="0"/>
        </c:ser>
        <c:ser>
          <c:idx val="19"/>
          <c:order val="19"/>
          <c:tx>
            <c:strRef>
              <c:f>Безработица!$A$21</c:f>
              <c:strCache>
                <c:ptCount val="1"/>
                <c:pt idx="0">
                  <c:v>Приволжский</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Безработица!$G$21</c:f>
              <c:numCache>
                <c:formatCode>0.0</c:formatCode>
                <c:ptCount val="1"/>
                <c:pt idx="0">
                  <c:v>-7.5771791884597084</c:v>
                </c:pt>
              </c:numCache>
            </c:numRef>
          </c:xVal>
          <c:yVal>
            <c:numRef>
              <c:f>Безработица!$B$21</c:f>
              <c:numCache>
                <c:formatCode>0.0</c:formatCode>
                <c:ptCount val="1"/>
                <c:pt idx="0">
                  <c:v>3</c:v>
                </c:pt>
              </c:numCache>
            </c:numRef>
          </c:yVal>
          <c:smooth val="0"/>
        </c:ser>
        <c:ser>
          <c:idx val="20"/>
          <c:order val="20"/>
          <c:tx>
            <c:strRef>
              <c:f>Безработица!$A$22</c:f>
              <c:strCache>
                <c:ptCount val="1"/>
                <c:pt idx="0">
                  <c:v>Сергиевский</c:v>
                </c:pt>
              </c:strCache>
            </c:strRef>
          </c:tx>
          <c:spPr>
            <a:ln w="47625">
              <a:noFill/>
            </a:ln>
          </c:spPr>
          <c:marker>
            <c:symbol val="circle"/>
            <c:size val="6"/>
            <c:spPr>
              <a:solidFill>
                <a:schemeClr val="accent1">
                  <a:lumMod val="50000"/>
                </a:schemeClr>
              </a:solidFill>
              <a:ln>
                <a:noFill/>
              </a:ln>
            </c:spPr>
          </c:marker>
          <c:dLbls>
            <c:dLbl>
              <c:idx val="0"/>
              <c:layout>
                <c:manualLayout>
                  <c:x val="-2.0095327298519671E-3"/>
                  <c:y val="-2.286070755763729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Безработица!$G$22</c:f>
              <c:numCache>
                <c:formatCode>0.0</c:formatCode>
                <c:ptCount val="1"/>
                <c:pt idx="0">
                  <c:v>2.501029596576787</c:v>
                </c:pt>
              </c:numCache>
            </c:numRef>
          </c:xVal>
          <c:yVal>
            <c:numRef>
              <c:f>Безработица!$B$22</c:f>
              <c:numCache>
                <c:formatCode>0.0</c:formatCode>
                <c:ptCount val="1"/>
                <c:pt idx="0">
                  <c:v>1.4</c:v>
                </c:pt>
              </c:numCache>
            </c:numRef>
          </c:yVal>
          <c:smooth val="0"/>
        </c:ser>
        <c:ser>
          <c:idx val="21"/>
          <c:order val="21"/>
          <c:tx>
            <c:strRef>
              <c:f>Безработица!$A$23</c:f>
              <c:strCache>
                <c:ptCount val="1"/>
                <c:pt idx="0">
                  <c:v>Ставропольский</c:v>
                </c:pt>
              </c:strCache>
            </c:strRef>
          </c:tx>
          <c:spPr>
            <a:ln w="47625">
              <a:noFill/>
            </a:ln>
          </c:spPr>
          <c:marker>
            <c:symbol val="circle"/>
            <c:size val="6"/>
            <c:spPr>
              <a:solidFill>
                <a:schemeClr val="accent1">
                  <a:lumMod val="50000"/>
                </a:schemeClr>
              </a:solidFill>
              <a:ln>
                <a:noFill/>
              </a:ln>
            </c:spPr>
          </c:marker>
          <c:dLbls>
            <c:dLbl>
              <c:idx val="0"/>
              <c:layout>
                <c:manualLayout>
                  <c:x val="-4.5540802407423066E-2"/>
                  <c:y val="-4.159899244094653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Безработица!$G$23</c:f>
              <c:numCache>
                <c:formatCode>0.0</c:formatCode>
                <c:ptCount val="1"/>
                <c:pt idx="0">
                  <c:v>22.390341034165971</c:v>
                </c:pt>
              </c:numCache>
            </c:numRef>
          </c:xVal>
          <c:yVal>
            <c:numRef>
              <c:f>Безработица!$B$23</c:f>
              <c:numCache>
                <c:formatCode>0.0</c:formatCode>
                <c:ptCount val="1"/>
                <c:pt idx="0">
                  <c:v>1.1000000000000001</c:v>
                </c:pt>
              </c:numCache>
            </c:numRef>
          </c:yVal>
          <c:smooth val="0"/>
        </c:ser>
        <c:ser>
          <c:idx val="22"/>
          <c:order val="22"/>
          <c:tx>
            <c:strRef>
              <c:f>Безработица!$A$24</c:f>
              <c:strCache>
                <c:ptCount val="1"/>
                <c:pt idx="0">
                  <c:v>Сызранский</c:v>
                </c:pt>
              </c:strCache>
            </c:strRef>
          </c:tx>
          <c:spPr>
            <a:ln w="47625">
              <a:noFill/>
            </a:ln>
          </c:spPr>
          <c:marker>
            <c:symbol val="circle"/>
            <c:size val="6"/>
            <c:spPr>
              <a:solidFill>
                <a:schemeClr val="accent1">
                  <a:lumMod val="50000"/>
                </a:schemeClr>
              </a:solidFill>
              <a:ln>
                <a:noFill/>
              </a:ln>
            </c:spPr>
          </c:marker>
          <c:dLbls>
            <c:dLbl>
              <c:idx val="0"/>
              <c:layout>
                <c:manualLayout>
                  <c:x val="-2.5047441324082688E-2"/>
                  <c:y val="3.7101804068952214E-2"/>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Безработица!$G$24</c:f>
              <c:numCache>
                <c:formatCode>0.0</c:formatCode>
                <c:ptCount val="1"/>
                <c:pt idx="0">
                  <c:v>0</c:v>
                </c:pt>
              </c:numCache>
            </c:numRef>
          </c:xVal>
          <c:yVal>
            <c:numRef>
              <c:f>Безработица!$B$24</c:f>
              <c:numCache>
                <c:formatCode>0.0</c:formatCode>
                <c:ptCount val="1"/>
                <c:pt idx="0">
                  <c:v>0.70000000000000062</c:v>
                </c:pt>
              </c:numCache>
            </c:numRef>
          </c:yVal>
          <c:smooth val="0"/>
        </c:ser>
        <c:ser>
          <c:idx val="23"/>
          <c:order val="23"/>
          <c:tx>
            <c:strRef>
              <c:f>Безработица!$A$25</c:f>
              <c:strCache>
                <c:ptCount val="1"/>
                <c:pt idx="0">
                  <c:v>Хворостянский</c:v>
                </c:pt>
              </c:strCache>
            </c:strRef>
          </c:tx>
          <c:spPr>
            <a:ln w="47625">
              <a:noFill/>
            </a:ln>
          </c:spPr>
          <c:marker>
            <c:symbol val="circle"/>
            <c:size val="6"/>
            <c:spPr>
              <a:solidFill>
                <a:schemeClr val="accent1">
                  <a:lumMod val="50000"/>
                </a:schemeClr>
              </a:solidFill>
              <a:ln>
                <a:noFill/>
              </a:ln>
            </c:spPr>
          </c:marker>
          <c:dLbls>
            <c:dLbl>
              <c:idx val="0"/>
              <c:layout>
                <c:manualLayout>
                  <c:x val="-0.12586348230076441"/>
                  <c:y val="-4.534664941760835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Безработица!$G$25</c:f>
              <c:numCache>
                <c:formatCode>0.0</c:formatCode>
                <c:ptCount val="1"/>
                <c:pt idx="0">
                  <c:v>-1.3515170267812082</c:v>
                </c:pt>
              </c:numCache>
            </c:numRef>
          </c:xVal>
          <c:yVal>
            <c:numRef>
              <c:f>Безработица!$B$25</c:f>
              <c:numCache>
                <c:formatCode>0.0</c:formatCode>
                <c:ptCount val="1"/>
                <c:pt idx="0">
                  <c:v>2.4</c:v>
                </c:pt>
              </c:numCache>
            </c:numRef>
          </c:yVal>
          <c:smooth val="0"/>
        </c:ser>
        <c:ser>
          <c:idx val="24"/>
          <c:order val="24"/>
          <c:tx>
            <c:strRef>
              <c:f>Безработица!$A$26</c:f>
              <c:strCache>
                <c:ptCount val="1"/>
                <c:pt idx="0">
                  <c:v>Челно-Вершинский</c:v>
                </c:pt>
              </c:strCache>
            </c:strRef>
          </c:tx>
          <c:spPr>
            <a:ln w="47625">
              <a:noFill/>
            </a:ln>
          </c:spPr>
          <c:marker>
            <c:symbol val="circle"/>
            <c:size val="6"/>
            <c:spPr>
              <a:solidFill>
                <a:schemeClr val="accent1">
                  <a:lumMod val="50000"/>
                </a:schemeClr>
              </a:solidFill>
              <a:ln>
                <a:noFill/>
              </a:ln>
            </c:spPr>
          </c:marker>
          <c:dLbls>
            <c:dLbl>
              <c:idx val="0"/>
              <c:layout>
                <c:manualLayout>
                  <c:x val="-0.11986912936026289"/>
                  <c:y val="-3.410367848762282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Безработица!$G$26</c:f>
              <c:numCache>
                <c:formatCode>0.0</c:formatCode>
                <c:ptCount val="1"/>
                <c:pt idx="0">
                  <c:v>-2.9868768149935825</c:v>
                </c:pt>
              </c:numCache>
            </c:numRef>
          </c:xVal>
          <c:yVal>
            <c:numRef>
              <c:f>Безработица!$B$26</c:f>
              <c:numCache>
                <c:formatCode>0.0</c:formatCode>
                <c:ptCount val="1"/>
                <c:pt idx="0">
                  <c:v>2.1</c:v>
                </c:pt>
              </c:numCache>
            </c:numRef>
          </c:yVal>
          <c:smooth val="0"/>
        </c:ser>
        <c:ser>
          <c:idx val="25"/>
          <c:order val="25"/>
          <c:tx>
            <c:strRef>
              <c:f>Безработица!$A$27</c:f>
              <c:strCache>
                <c:ptCount val="1"/>
                <c:pt idx="0">
                  <c:v>Шенталинский</c:v>
                </c:pt>
              </c:strCache>
            </c:strRef>
          </c:tx>
          <c:spPr>
            <a:ln w="47625">
              <a:noFill/>
            </a:ln>
          </c:spPr>
          <c:marker>
            <c:symbol val="circle"/>
            <c:size val="6"/>
            <c:spPr>
              <a:solidFill>
                <a:schemeClr val="accent1">
                  <a:lumMod val="50000"/>
                </a:schemeClr>
              </a:solidFill>
              <a:ln>
                <a:noFill/>
              </a:ln>
            </c:spPr>
          </c:marker>
          <c:dLbls>
            <c:dLbl>
              <c:idx val="0"/>
              <c:layout>
                <c:manualLayout>
                  <c:x val="-7.9115848629544613E-2"/>
                  <c:y val="-3.785133546428471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Безработица!$G$27</c:f>
              <c:numCache>
                <c:formatCode>0.0</c:formatCode>
                <c:ptCount val="1"/>
                <c:pt idx="0">
                  <c:v>-3.8500286461727762</c:v>
                </c:pt>
              </c:numCache>
            </c:numRef>
          </c:xVal>
          <c:yVal>
            <c:numRef>
              <c:f>Безработица!$B$27</c:f>
              <c:numCache>
                <c:formatCode>0.0</c:formatCode>
                <c:ptCount val="1"/>
                <c:pt idx="0">
                  <c:v>1.6</c:v>
                </c:pt>
              </c:numCache>
            </c:numRef>
          </c:yVal>
          <c:smooth val="0"/>
        </c:ser>
        <c:ser>
          <c:idx val="26"/>
          <c:order val="26"/>
          <c:tx>
            <c:strRef>
              <c:f>Безработица!$A$28</c:f>
              <c:strCache>
                <c:ptCount val="1"/>
                <c:pt idx="0">
                  <c:v>Шигонский</c:v>
                </c:pt>
              </c:strCache>
            </c:strRef>
          </c:tx>
          <c:spPr>
            <a:ln w="47625">
              <a:noFill/>
            </a:ln>
          </c:spPr>
          <c:marker>
            <c:symbol val="circle"/>
            <c:size val="6"/>
            <c:spPr>
              <a:solidFill>
                <a:schemeClr val="tx2">
                  <a:lumMod val="75000"/>
                </a:schemeClr>
              </a:solidFill>
              <a:ln>
                <a:noFill/>
              </a:ln>
            </c:spPr>
          </c:marker>
          <c:dLbls>
            <c:dLbl>
              <c:idx val="0"/>
              <c:layout>
                <c:manualLayout>
                  <c:x val="-2.1689255382779564E-3"/>
                  <c:y val="-3.7476569766625397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Безработица!$G$28</c:f>
              <c:numCache>
                <c:formatCode>0.0</c:formatCode>
                <c:ptCount val="1"/>
                <c:pt idx="0">
                  <c:v>-2.0005389940710772</c:v>
                </c:pt>
              </c:numCache>
            </c:numRef>
          </c:xVal>
          <c:yVal>
            <c:numRef>
              <c:f>Безработица!$B$28</c:f>
              <c:numCache>
                <c:formatCode>0.0</c:formatCode>
                <c:ptCount val="1"/>
                <c:pt idx="0">
                  <c:v>1.6</c:v>
                </c:pt>
              </c:numCache>
            </c:numRef>
          </c:yVal>
          <c:smooth val="0"/>
        </c:ser>
        <c:dLbls>
          <c:showLegendKey val="0"/>
          <c:showVal val="1"/>
          <c:showCatName val="0"/>
          <c:showSerName val="0"/>
          <c:showPercent val="0"/>
          <c:showBubbleSize val="0"/>
        </c:dLbls>
        <c:axId val="275946112"/>
        <c:axId val="275960576"/>
      </c:scatterChart>
      <c:valAx>
        <c:axId val="275946112"/>
        <c:scaling>
          <c:orientation val="minMax"/>
          <c:max val="23"/>
          <c:min val="-12"/>
        </c:scaling>
        <c:delete val="0"/>
        <c:axPos val="b"/>
        <c:title>
          <c:tx>
            <c:rich>
              <a:bodyPr/>
              <a:lstStyle/>
              <a:p>
                <a:pPr>
                  <a:defRPr/>
                </a:pPr>
                <a:r>
                  <a:rPr lang="ru-RU"/>
                  <a:t>Среднеговой темп прироста зарегистрированной безработицы в 2014-2016 гг., %</a:t>
                </a:r>
              </a:p>
            </c:rich>
          </c:tx>
          <c:overlay val="0"/>
        </c:title>
        <c:numFmt formatCode="0.0" sourceLinked="1"/>
        <c:majorTickMark val="out"/>
        <c:minorTickMark val="none"/>
        <c:tickLblPos val="nextTo"/>
        <c:crossAx val="275960576"/>
        <c:crosses val="autoZero"/>
        <c:crossBetween val="midCat"/>
      </c:valAx>
      <c:valAx>
        <c:axId val="275960576"/>
        <c:scaling>
          <c:orientation val="minMax"/>
          <c:max val="4"/>
        </c:scaling>
        <c:delete val="0"/>
        <c:axPos val="l"/>
        <c:title>
          <c:tx>
            <c:rich>
              <a:bodyPr rot="-5400000" vert="horz"/>
              <a:lstStyle/>
              <a:p>
                <a:pPr>
                  <a:defRPr/>
                </a:pPr>
                <a:r>
                  <a:rPr lang="ru-RU"/>
                  <a:t>Уровнь зарегистрированной безработицы</a:t>
                </a:r>
              </a:p>
            </c:rich>
          </c:tx>
          <c:overlay val="0"/>
        </c:title>
        <c:numFmt formatCode="0.0" sourceLinked="1"/>
        <c:majorTickMark val="out"/>
        <c:minorTickMark val="none"/>
        <c:tickLblPos val="low"/>
        <c:spPr>
          <a:ln>
            <a:noFill/>
          </a:ln>
        </c:spPr>
        <c:crossAx val="275946112"/>
        <c:crosses val="autoZero"/>
        <c:crossBetween val="midCat"/>
      </c:valAx>
      <c:spPr>
        <a:noFill/>
        <a:ln>
          <a:solidFill>
            <a:schemeClr val="tx1"/>
          </a:solidFill>
        </a:ln>
      </c:spPr>
    </c:plotArea>
    <c:plotVisOnly val="1"/>
    <c:dispBlanksAs val="gap"/>
    <c:showDLblsOverMax val="0"/>
  </c:chart>
  <c:spPr>
    <a:noFill/>
  </c:spPr>
  <c:txPr>
    <a:bodyPr/>
    <a:lstStyle/>
    <a:p>
      <a:pPr>
        <a:defRPr sz="800" baseline="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98445974507974"/>
          <c:y val="9.951768603666257E-2"/>
          <c:w val="0.8424439199598357"/>
          <c:h val="0.79783236576163274"/>
        </c:manualLayout>
      </c:layout>
      <c:scatterChart>
        <c:scatterStyle val="lineMarker"/>
        <c:varyColors val="0"/>
        <c:ser>
          <c:idx val="0"/>
          <c:order val="0"/>
          <c:tx>
            <c:strRef>
              <c:f>'Заработная плата'!$A$4</c:f>
              <c:strCache>
                <c:ptCount val="1"/>
                <c:pt idx="0">
                  <c:v>Алексеевский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плата'!$D$4</c:f>
              <c:numCache>
                <c:formatCode>0.0</c:formatCode>
                <c:ptCount val="1"/>
                <c:pt idx="0">
                  <c:v>5.8232673200595784</c:v>
                </c:pt>
              </c:numCache>
            </c:numRef>
          </c:xVal>
          <c:yVal>
            <c:numRef>
              <c:f>'Заработная плата'!$B$4</c:f>
              <c:numCache>
                <c:formatCode>0</c:formatCode>
                <c:ptCount val="1"/>
                <c:pt idx="0">
                  <c:v>20559.400000000001</c:v>
                </c:pt>
              </c:numCache>
            </c:numRef>
          </c:yVal>
          <c:smooth val="0"/>
        </c:ser>
        <c:ser>
          <c:idx val="1"/>
          <c:order val="1"/>
          <c:tx>
            <c:strRef>
              <c:f>'Заработная плата'!$A$5</c:f>
              <c:strCache>
                <c:ptCount val="1"/>
                <c:pt idx="0">
                  <c:v>Безенчукский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плата'!$D$5</c:f>
              <c:numCache>
                <c:formatCode>0.0</c:formatCode>
                <c:ptCount val="1"/>
                <c:pt idx="0">
                  <c:v>8.7385939820359475</c:v>
                </c:pt>
              </c:numCache>
            </c:numRef>
          </c:xVal>
          <c:yVal>
            <c:numRef>
              <c:f>'Заработная плата'!$B$5</c:f>
              <c:numCache>
                <c:formatCode>0</c:formatCode>
                <c:ptCount val="1"/>
                <c:pt idx="0">
                  <c:v>26044.6</c:v>
                </c:pt>
              </c:numCache>
            </c:numRef>
          </c:yVal>
          <c:smooth val="0"/>
        </c:ser>
        <c:ser>
          <c:idx val="2"/>
          <c:order val="2"/>
          <c:tx>
            <c:strRef>
              <c:f>'Заработная плата'!$A$6</c:f>
              <c:strCache>
                <c:ptCount val="1"/>
                <c:pt idx="0">
                  <c:v>Богатовский </c:v>
                </c:pt>
              </c:strCache>
            </c:strRef>
          </c:tx>
          <c:spPr>
            <a:ln w="47625">
              <a:noFill/>
            </a:ln>
          </c:spPr>
          <c:marker>
            <c:symbol val="circle"/>
            <c:size val="6"/>
            <c:spPr>
              <a:solidFill>
                <a:srgbClr val="4F81BD">
                  <a:lumMod val="50000"/>
                </a:srgbClr>
              </a:solidFill>
              <a:ln>
                <a:noFill/>
              </a:ln>
            </c:spPr>
          </c:marker>
          <c:dLbls>
            <c:dLbl>
              <c:idx val="0"/>
              <c:layout>
                <c:manualLayout>
                  <c:x val="-6.2125305516484812E-2"/>
                  <c:y val="-3.148934763417784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плата'!$D$6</c:f>
              <c:numCache>
                <c:formatCode>0.0</c:formatCode>
                <c:ptCount val="1"/>
                <c:pt idx="0">
                  <c:v>11.780636086607382</c:v>
                </c:pt>
              </c:numCache>
            </c:numRef>
          </c:xVal>
          <c:yVal>
            <c:numRef>
              <c:f>'Заработная плата'!$B$6</c:f>
              <c:numCache>
                <c:formatCode>0</c:formatCode>
                <c:ptCount val="1"/>
                <c:pt idx="0">
                  <c:v>27740.2</c:v>
                </c:pt>
              </c:numCache>
            </c:numRef>
          </c:yVal>
          <c:smooth val="0"/>
        </c:ser>
        <c:ser>
          <c:idx val="3"/>
          <c:order val="3"/>
          <c:tx>
            <c:strRef>
              <c:f>'Заработная плата'!$A$7</c:f>
              <c:strCache>
                <c:ptCount val="1"/>
                <c:pt idx="0">
                  <c:v>Большеглушицкий </c:v>
                </c:pt>
              </c:strCache>
            </c:strRef>
          </c:tx>
          <c:spPr>
            <a:ln w="47625">
              <a:noFill/>
            </a:ln>
          </c:spPr>
          <c:marker>
            <c:symbol val="circle"/>
            <c:size val="6"/>
            <c:spPr>
              <a:solidFill>
                <a:srgbClr val="4F81BD">
                  <a:lumMod val="50000"/>
                </a:srgbClr>
              </a:solidFill>
              <a:ln>
                <a:noFill/>
              </a:ln>
            </c:spPr>
          </c:marker>
          <c:dLbls>
            <c:dLbl>
              <c:idx val="0"/>
              <c:layout>
                <c:manualLayout>
                  <c:x val="-3.8075390876860682E-2"/>
                  <c:y val="-3.816281094048593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плата'!$D$7</c:f>
              <c:numCache>
                <c:formatCode>0.0</c:formatCode>
                <c:ptCount val="1"/>
                <c:pt idx="0">
                  <c:v>7.7276778898828464</c:v>
                </c:pt>
              </c:numCache>
            </c:numRef>
          </c:xVal>
          <c:yVal>
            <c:numRef>
              <c:f>'Заработная плата'!$B$7</c:f>
              <c:numCache>
                <c:formatCode>0</c:formatCode>
                <c:ptCount val="1"/>
                <c:pt idx="0">
                  <c:v>24319.9</c:v>
                </c:pt>
              </c:numCache>
            </c:numRef>
          </c:yVal>
          <c:smooth val="0"/>
        </c:ser>
        <c:ser>
          <c:idx val="4"/>
          <c:order val="4"/>
          <c:tx>
            <c:strRef>
              <c:f>'Заработная плата'!$A$8</c:f>
              <c:strCache>
                <c:ptCount val="1"/>
                <c:pt idx="0">
                  <c:v>Большечерниговский </c:v>
                </c:pt>
              </c:strCache>
            </c:strRef>
          </c:tx>
          <c:spPr>
            <a:ln w="47625">
              <a:noFill/>
            </a:ln>
          </c:spPr>
          <c:marker>
            <c:symbol val="circle"/>
            <c:size val="6"/>
            <c:spPr>
              <a:solidFill>
                <a:srgbClr val="4F81BD">
                  <a:lumMod val="50000"/>
                </a:srgbClr>
              </a:solidFill>
              <a:ln>
                <a:noFill/>
              </a:ln>
            </c:spPr>
          </c:marker>
          <c:dLbls>
            <c:dLbl>
              <c:idx val="0"/>
              <c:layout>
                <c:manualLayout>
                  <c:x val="-6.4832140649023649E-3"/>
                  <c:y val="-2.618125819790777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плата'!$D$8</c:f>
              <c:numCache>
                <c:formatCode>0.0</c:formatCode>
                <c:ptCount val="1"/>
                <c:pt idx="0">
                  <c:v>7.5712812606021824</c:v>
                </c:pt>
              </c:numCache>
            </c:numRef>
          </c:xVal>
          <c:yVal>
            <c:numRef>
              <c:f>'Заработная плата'!$B$8</c:f>
              <c:numCache>
                <c:formatCode>0</c:formatCode>
                <c:ptCount val="1"/>
                <c:pt idx="0">
                  <c:v>22329.8</c:v>
                </c:pt>
              </c:numCache>
            </c:numRef>
          </c:yVal>
          <c:smooth val="0"/>
        </c:ser>
        <c:ser>
          <c:idx val="5"/>
          <c:order val="5"/>
          <c:tx>
            <c:strRef>
              <c:f>'Заработная плата'!$A$9</c:f>
              <c:strCache>
                <c:ptCount val="1"/>
                <c:pt idx="0">
                  <c:v>Борский </c:v>
                </c:pt>
              </c:strCache>
            </c:strRef>
          </c:tx>
          <c:spPr>
            <a:ln w="47625">
              <a:noFill/>
            </a:ln>
          </c:spPr>
          <c:marker>
            <c:symbol val="circle"/>
            <c:size val="6"/>
            <c:spPr>
              <a:solidFill>
                <a:srgbClr val="4F81BD">
                  <a:lumMod val="50000"/>
                </a:srgbClr>
              </a:solidFill>
              <a:ln>
                <a:noFill/>
              </a:ln>
            </c:spPr>
          </c:marker>
          <c:dLbls>
            <c:dLbl>
              <c:idx val="0"/>
              <c:layout>
                <c:manualLayout>
                  <c:x val="3.9682533482918812E-3"/>
                  <c:y val="-3.1539513173955465E-4"/>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'Заработная плата'!$D$9</c:f>
              <c:numCache>
                <c:formatCode>0.0</c:formatCode>
                <c:ptCount val="1"/>
                <c:pt idx="0">
                  <c:v>8.2315498828870357</c:v>
                </c:pt>
              </c:numCache>
            </c:numRef>
          </c:xVal>
          <c:yVal>
            <c:numRef>
              <c:f>'Заработная плата'!$B$9</c:f>
              <c:numCache>
                <c:formatCode>0</c:formatCode>
                <c:ptCount val="1"/>
                <c:pt idx="0">
                  <c:v>20885.5</c:v>
                </c:pt>
              </c:numCache>
            </c:numRef>
          </c:yVal>
          <c:smooth val="0"/>
        </c:ser>
        <c:ser>
          <c:idx val="6"/>
          <c:order val="6"/>
          <c:tx>
            <c:strRef>
              <c:f>'Заработная плата'!$A$10</c:f>
              <c:strCache>
                <c:ptCount val="1"/>
                <c:pt idx="0">
                  <c:v>Волжский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плата'!$D$10</c:f>
              <c:numCache>
                <c:formatCode>0.0</c:formatCode>
                <c:ptCount val="1"/>
                <c:pt idx="0">
                  <c:v>8.3132607201486195</c:v>
                </c:pt>
              </c:numCache>
            </c:numRef>
          </c:xVal>
          <c:yVal>
            <c:numRef>
              <c:f>'Заработная плата'!$B$10</c:f>
              <c:numCache>
                <c:formatCode>0</c:formatCode>
                <c:ptCount val="1"/>
                <c:pt idx="0">
                  <c:v>30470.5</c:v>
                </c:pt>
              </c:numCache>
            </c:numRef>
          </c:yVal>
          <c:smooth val="0"/>
        </c:ser>
        <c:ser>
          <c:idx val="7"/>
          <c:order val="7"/>
          <c:tx>
            <c:strRef>
              <c:f>'Заработная плата'!$A$11</c:f>
              <c:strCache>
                <c:ptCount val="1"/>
                <c:pt idx="0">
                  <c:v>Елховский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плата'!$D$11</c:f>
              <c:numCache>
                <c:formatCode>0.0</c:formatCode>
                <c:ptCount val="1"/>
                <c:pt idx="0">
                  <c:v>5.7471750010826383</c:v>
                </c:pt>
              </c:numCache>
            </c:numRef>
          </c:xVal>
          <c:yVal>
            <c:numRef>
              <c:f>'Заработная плата'!$B$11</c:f>
              <c:numCache>
                <c:formatCode>0</c:formatCode>
                <c:ptCount val="1"/>
                <c:pt idx="0">
                  <c:v>23758.6</c:v>
                </c:pt>
              </c:numCache>
            </c:numRef>
          </c:yVal>
          <c:smooth val="0"/>
        </c:ser>
        <c:ser>
          <c:idx val="8"/>
          <c:order val="8"/>
          <c:tx>
            <c:strRef>
              <c:f>'Заработная плата'!$A$12</c:f>
              <c:strCache>
                <c:ptCount val="1"/>
                <c:pt idx="0">
                  <c:v>Исаклинский </c:v>
                </c:pt>
              </c:strCache>
            </c:strRef>
          </c:tx>
          <c:spPr>
            <a:ln w="47625">
              <a:noFill/>
            </a:ln>
          </c:spPr>
          <c:marker>
            <c:symbol val="circle"/>
            <c:size val="6"/>
            <c:spPr>
              <a:solidFill>
                <a:srgbClr val="4F81BD">
                  <a:lumMod val="50000"/>
                </a:srgbClr>
              </a:solidFill>
              <a:ln>
                <a:noFill/>
              </a:ln>
            </c:spPr>
          </c:marker>
          <c:dLbls>
            <c:dLbl>
              <c:idx val="0"/>
              <c:layout>
                <c:manualLayout>
                  <c:x val="2.6735716357999652E-3"/>
                  <c:y val="2.8385561856560941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плата'!$D$12</c:f>
              <c:numCache>
                <c:formatCode>0.0</c:formatCode>
                <c:ptCount val="1"/>
                <c:pt idx="0">
                  <c:v>6.1607813962574927</c:v>
                </c:pt>
              </c:numCache>
            </c:numRef>
          </c:xVal>
          <c:yVal>
            <c:numRef>
              <c:f>'Заработная плата'!$B$12</c:f>
              <c:numCache>
                <c:formatCode>0</c:formatCode>
                <c:ptCount val="1"/>
                <c:pt idx="0">
                  <c:v>19305.099999999948</c:v>
                </c:pt>
              </c:numCache>
            </c:numRef>
          </c:yVal>
          <c:smooth val="0"/>
        </c:ser>
        <c:ser>
          <c:idx val="9"/>
          <c:order val="9"/>
          <c:tx>
            <c:strRef>
              <c:f>'Заработная плата'!$A$13</c:f>
              <c:strCache>
                <c:ptCount val="1"/>
                <c:pt idx="0">
                  <c:v>Камышлинский </c:v>
                </c:pt>
              </c:strCache>
            </c:strRef>
          </c:tx>
          <c:spPr>
            <a:ln w="47625">
              <a:noFill/>
            </a:ln>
          </c:spPr>
          <c:marker>
            <c:symbol val="circle"/>
            <c:size val="6"/>
            <c:spPr>
              <a:solidFill>
                <a:srgbClr val="FF0000"/>
              </a:solidFill>
              <a:ln>
                <a:noFill/>
              </a:ln>
            </c:spPr>
          </c:marker>
          <c:dLbls>
            <c:dLbl>
              <c:idx val="0"/>
              <c:layout>
                <c:manualLayout>
                  <c:x val="-6.9573863529044294E-2"/>
                  <c:y val="1.9559269756287537E-2"/>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'Заработная плата'!$D$13</c:f>
              <c:numCache>
                <c:formatCode>0.0</c:formatCode>
                <c:ptCount val="1"/>
                <c:pt idx="0">
                  <c:v>7.0178690671149457</c:v>
                </c:pt>
              </c:numCache>
            </c:numRef>
          </c:xVal>
          <c:yVal>
            <c:numRef>
              <c:f>'Заработная плата'!$B$13</c:f>
              <c:numCache>
                <c:formatCode>0</c:formatCode>
                <c:ptCount val="1"/>
                <c:pt idx="0">
                  <c:v>21407.200000000001</c:v>
                </c:pt>
              </c:numCache>
            </c:numRef>
          </c:yVal>
          <c:smooth val="0"/>
        </c:ser>
        <c:ser>
          <c:idx val="10"/>
          <c:order val="10"/>
          <c:tx>
            <c:strRef>
              <c:f>'Заработная плата'!$A$14</c:f>
              <c:strCache>
                <c:ptCount val="1"/>
                <c:pt idx="0">
                  <c:v>Кинельский </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'Заработная плата'!$D$14</c:f>
              <c:numCache>
                <c:formatCode>0.0</c:formatCode>
                <c:ptCount val="1"/>
                <c:pt idx="0">
                  <c:v>5.9968118404630344</c:v>
                </c:pt>
              </c:numCache>
            </c:numRef>
          </c:xVal>
          <c:yVal>
            <c:numRef>
              <c:f>'Заработная плата'!$B$14</c:f>
              <c:numCache>
                <c:formatCode>0</c:formatCode>
                <c:ptCount val="1"/>
                <c:pt idx="0">
                  <c:v>35166.1</c:v>
                </c:pt>
              </c:numCache>
            </c:numRef>
          </c:yVal>
          <c:smooth val="0"/>
        </c:ser>
        <c:ser>
          <c:idx val="11"/>
          <c:order val="11"/>
          <c:tx>
            <c:strRef>
              <c:f>'Заработная плата'!$A$15</c:f>
              <c:strCache>
                <c:ptCount val="1"/>
                <c:pt idx="0">
                  <c:v>Кинель-Черкасский </c:v>
                </c:pt>
              </c:strCache>
            </c:strRef>
          </c:tx>
          <c:spPr>
            <a:ln w="47625">
              <a:noFill/>
            </a:ln>
          </c:spPr>
          <c:marker>
            <c:symbol val="circle"/>
            <c:size val="6"/>
            <c:spPr>
              <a:solidFill>
                <a:srgbClr val="4F81BD">
                  <a:lumMod val="50000"/>
                </a:srgbClr>
              </a:solidFill>
              <a:ln>
                <a:noFill/>
              </a:ln>
            </c:spPr>
          </c:marker>
          <c:dLbls>
            <c:dLbl>
              <c:idx val="0"/>
              <c:layout>
                <c:manualLayout>
                  <c:x val="-0.1145634741651867"/>
                  <c:y val="-3.500885962309040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trendline>
            <c:trendlineType val="linear"/>
            <c:dispRSqr val="0"/>
            <c:dispEq val="0"/>
          </c:trendline>
          <c:xVal>
            <c:numRef>
              <c:f>'Заработная плата'!$D$15</c:f>
              <c:numCache>
                <c:formatCode>0.0</c:formatCode>
                <c:ptCount val="1"/>
                <c:pt idx="0">
                  <c:v>7.4310425444373953</c:v>
                </c:pt>
              </c:numCache>
            </c:numRef>
          </c:xVal>
          <c:yVal>
            <c:numRef>
              <c:f>'Заработная плата'!$B$15</c:f>
              <c:numCache>
                <c:formatCode>0</c:formatCode>
                <c:ptCount val="1"/>
                <c:pt idx="0">
                  <c:v>24620.6</c:v>
                </c:pt>
              </c:numCache>
            </c:numRef>
          </c:yVal>
          <c:smooth val="0"/>
        </c:ser>
        <c:ser>
          <c:idx val="12"/>
          <c:order val="12"/>
          <c:tx>
            <c:strRef>
              <c:f>'Заработная плата'!$A$16</c:f>
              <c:strCache>
                <c:ptCount val="1"/>
                <c:pt idx="0">
                  <c:v>Клявлинский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плата'!$D$16</c:f>
              <c:numCache>
                <c:formatCode>0.0</c:formatCode>
                <c:ptCount val="1"/>
                <c:pt idx="0">
                  <c:v>10.790807800919167</c:v>
                </c:pt>
              </c:numCache>
            </c:numRef>
          </c:xVal>
          <c:yVal>
            <c:numRef>
              <c:f>'Заработная плата'!$B$16</c:f>
              <c:numCache>
                <c:formatCode>0</c:formatCode>
                <c:ptCount val="1"/>
                <c:pt idx="0">
                  <c:v>22433.4</c:v>
                </c:pt>
              </c:numCache>
            </c:numRef>
          </c:yVal>
          <c:smooth val="0"/>
        </c:ser>
        <c:ser>
          <c:idx val="13"/>
          <c:order val="13"/>
          <c:tx>
            <c:strRef>
              <c:f>'Заработная плата'!$A$17</c:f>
              <c:strCache>
                <c:ptCount val="1"/>
                <c:pt idx="0">
                  <c:v>Кошкинский </c:v>
                </c:pt>
              </c:strCache>
            </c:strRef>
          </c:tx>
          <c:spPr>
            <a:ln w="47625">
              <a:noFill/>
            </a:ln>
          </c:spPr>
          <c:marker>
            <c:symbol val="circle"/>
            <c:size val="6"/>
            <c:spPr>
              <a:solidFill>
                <a:srgbClr val="4F81BD">
                  <a:lumMod val="50000"/>
                </a:srgbClr>
              </a:solidFill>
              <a:ln>
                <a:noFill/>
              </a:ln>
            </c:spPr>
          </c:marker>
          <c:dLbls>
            <c:dLbl>
              <c:idx val="0"/>
              <c:layout>
                <c:manualLayout>
                  <c:x val="-1.9841266741459401E-3"/>
                  <c:y val="-3.4693464491350849E-3"/>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'Заработная плата'!$D$17</c:f>
              <c:numCache>
                <c:formatCode>0.0</c:formatCode>
                <c:ptCount val="1"/>
                <c:pt idx="0">
                  <c:v>7.777282098885796</c:v>
                </c:pt>
              </c:numCache>
            </c:numRef>
          </c:xVal>
          <c:yVal>
            <c:numRef>
              <c:f>'Заработная плата'!$B$17</c:f>
              <c:numCache>
                <c:formatCode>0</c:formatCode>
                <c:ptCount val="1"/>
                <c:pt idx="0">
                  <c:v>23602.6</c:v>
                </c:pt>
              </c:numCache>
            </c:numRef>
          </c:yVal>
          <c:smooth val="0"/>
        </c:ser>
        <c:ser>
          <c:idx val="14"/>
          <c:order val="14"/>
          <c:tx>
            <c:strRef>
              <c:f>'Заработная плата'!$A$18</c:f>
              <c:strCache>
                <c:ptCount val="1"/>
                <c:pt idx="0">
                  <c:v>Красноармейский </c:v>
                </c:pt>
              </c:strCache>
            </c:strRef>
          </c:tx>
          <c:spPr>
            <a:ln w="47625">
              <a:noFill/>
            </a:ln>
          </c:spPr>
          <c:marker>
            <c:symbol val="circle"/>
            <c:size val="6"/>
            <c:spPr>
              <a:solidFill>
                <a:srgbClr val="4F81BD">
                  <a:lumMod val="50000"/>
                </a:srgbClr>
              </a:solidFill>
              <a:ln>
                <a:noFill/>
              </a:ln>
            </c:spPr>
          </c:marker>
          <c:dLbls>
            <c:dLbl>
              <c:idx val="0"/>
              <c:layout>
                <c:manualLayout>
                  <c:x val="-6.3447478867262611E-2"/>
                  <c:y val="3.4695243337133606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плата'!$D$18</c:f>
              <c:numCache>
                <c:formatCode>0.0</c:formatCode>
                <c:ptCount val="1"/>
                <c:pt idx="0">
                  <c:v>9.612958716250148</c:v>
                </c:pt>
              </c:numCache>
            </c:numRef>
          </c:xVal>
          <c:yVal>
            <c:numRef>
              <c:f>'Заработная плата'!$B$18</c:f>
              <c:numCache>
                <c:formatCode>0</c:formatCode>
                <c:ptCount val="1"/>
                <c:pt idx="0">
                  <c:v>23109</c:v>
                </c:pt>
              </c:numCache>
            </c:numRef>
          </c:yVal>
          <c:smooth val="0"/>
        </c:ser>
        <c:ser>
          <c:idx val="15"/>
          <c:order val="15"/>
          <c:tx>
            <c:strRef>
              <c:f>'Заработная плата'!$A$19</c:f>
              <c:strCache>
                <c:ptCount val="1"/>
                <c:pt idx="0">
                  <c:v>Красноярский </c:v>
                </c:pt>
              </c:strCache>
            </c:strRef>
          </c:tx>
          <c:spPr>
            <a:ln w="47625">
              <a:noFill/>
            </a:ln>
          </c:spPr>
          <c:marker>
            <c:symbol val="circle"/>
            <c:size val="6"/>
            <c:spPr>
              <a:solidFill>
                <a:srgbClr val="4F81BD">
                  <a:lumMod val="50000"/>
                </a:srgbClr>
              </a:solidFill>
              <a:ln>
                <a:noFill/>
              </a:ln>
            </c:spPr>
          </c:marker>
          <c:dLbls>
            <c:dLbl>
              <c:idx val="0"/>
              <c:layout>
                <c:manualLayout>
                  <c:x val="-2.437788595814127E-2"/>
                  <c:y val="3.65957283316118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плата'!$D$19</c:f>
              <c:numCache>
                <c:formatCode>0.0</c:formatCode>
                <c:ptCount val="1"/>
                <c:pt idx="0">
                  <c:v>4.6761550251908535</c:v>
                </c:pt>
              </c:numCache>
            </c:numRef>
          </c:xVal>
          <c:yVal>
            <c:numRef>
              <c:f>'Заработная плата'!$B$19</c:f>
              <c:numCache>
                <c:formatCode>0</c:formatCode>
                <c:ptCount val="1"/>
                <c:pt idx="0">
                  <c:v>24006.400000000001</c:v>
                </c:pt>
              </c:numCache>
            </c:numRef>
          </c:yVal>
          <c:smooth val="0"/>
        </c:ser>
        <c:ser>
          <c:idx val="16"/>
          <c:order val="16"/>
          <c:tx>
            <c:strRef>
              <c:f>'Заработная плата'!$A$20</c:f>
              <c:strCache>
                <c:ptCount val="1"/>
                <c:pt idx="0">
                  <c:v>Нефтегорский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плата'!$D$20</c:f>
              <c:numCache>
                <c:formatCode>0.0</c:formatCode>
                <c:ptCount val="1"/>
                <c:pt idx="0">
                  <c:v>8.9661143207985905</c:v>
                </c:pt>
              </c:numCache>
            </c:numRef>
          </c:xVal>
          <c:yVal>
            <c:numRef>
              <c:f>'Заработная плата'!$B$20</c:f>
              <c:numCache>
                <c:formatCode>0</c:formatCode>
                <c:ptCount val="1"/>
                <c:pt idx="0">
                  <c:v>28894.400000000001</c:v>
                </c:pt>
              </c:numCache>
            </c:numRef>
          </c:yVal>
          <c:smooth val="0"/>
        </c:ser>
        <c:ser>
          <c:idx val="17"/>
          <c:order val="17"/>
          <c:tx>
            <c:strRef>
              <c:f>'Заработная плата'!$A$21</c:f>
              <c:strCache>
                <c:ptCount val="1"/>
                <c:pt idx="0">
                  <c:v>Пестравский </c:v>
                </c:pt>
              </c:strCache>
            </c:strRef>
          </c:tx>
          <c:spPr>
            <a:ln w="47625">
              <a:noFill/>
            </a:ln>
          </c:spPr>
          <c:marker>
            <c:symbol val="circle"/>
            <c:size val="6"/>
            <c:spPr>
              <a:solidFill>
                <a:srgbClr val="4F81BD">
                  <a:lumMod val="50000"/>
                </a:srgbClr>
              </a:solidFill>
              <a:ln>
                <a:noFill/>
              </a:ln>
            </c:spPr>
          </c:marker>
          <c:dLbls>
            <c:dLbl>
              <c:idx val="0"/>
              <c:layout>
                <c:manualLayout>
                  <c:x val="-9.9552570242033719E-2"/>
                  <c:y val="-2.9652078113775428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плата'!$D$21</c:f>
              <c:numCache>
                <c:formatCode>0.0</c:formatCode>
                <c:ptCount val="1"/>
                <c:pt idx="0">
                  <c:v>7.3557536619470705</c:v>
                </c:pt>
              </c:numCache>
            </c:numRef>
          </c:xVal>
          <c:yVal>
            <c:numRef>
              <c:f>'Заработная плата'!$B$21</c:f>
              <c:numCache>
                <c:formatCode>0</c:formatCode>
                <c:ptCount val="1"/>
                <c:pt idx="0">
                  <c:v>22110.6</c:v>
                </c:pt>
              </c:numCache>
            </c:numRef>
          </c:yVal>
          <c:smooth val="0"/>
        </c:ser>
        <c:ser>
          <c:idx val="18"/>
          <c:order val="18"/>
          <c:tx>
            <c:strRef>
              <c:f>'Заработная плата'!$A$22</c:f>
              <c:strCache>
                <c:ptCount val="1"/>
                <c:pt idx="0">
                  <c:v>Похвистневский </c:v>
                </c:pt>
              </c:strCache>
            </c:strRef>
          </c:tx>
          <c:spPr>
            <a:ln w="47625">
              <a:noFill/>
            </a:ln>
          </c:spPr>
          <c:marker>
            <c:symbol val="circle"/>
            <c:size val="6"/>
            <c:spPr>
              <a:solidFill>
                <a:srgbClr val="4F81BD">
                  <a:lumMod val="50000"/>
                </a:srgbClr>
              </a:solidFill>
              <a:ln>
                <a:noFill/>
              </a:ln>
            </c:spPr>
          </c:marker>
          <c:dLbls>
            <c:dLbl>
              <c:idx val="0"/>
              <c:layout>
                <c:manualLayout>
                  <c:x val="-5.9634734900907947E-3"/>
                  <c:y val="-6.6232977665306291E-3"/>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'Заработная плата'!$D$22</c:f>
              <c:numCache>
                <c:formatCode>0.0</c:formatCode>
                <c:ptCount val="1"/>
                <c:pt idx="0">
                  <c:v>7.7386374862026477</c:v>
                </c:pt>
              </c:numCache>
            </c:numRef>
          </c:xVal>
          <c:yVal>
            <c:numRef>
              <c:f>'Заработная плата'!$B$22</c:f>
              <c:numCache>
                <c:formatCode>0</c:formatCode>
                <c:ptCount val="1"/>
                <c:pt idx="0">
                  <c:v>21887.3</c:v>
                </c:pt>
              </c:numCache>
            </c:numRef>
          </c:yVal>
          <c:smooth val="0"/>
        </c:ser>
        <c:ser>
          <c:idx val="19"/>
          <c:order val="19"/>
          <c:tx>
            <c:strRef>
              <c:f>'Заработная плата'!$A$23</c:f>
              <c:strCache>
                <c:ptCount val="1"/>
                <c:pt idx="0">
                  <c:v>Приволжский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плата'!$D$23</c:f>
              <c:numCache>
                <c:formatCode>0.0</c:formatCode>
                <c:ptCount val="1"/>
                <c:pt idx="0">
                  <c:v>9.6839055573607524</c:v>
                </c:pt>
              </c:numCache>
            </c:numRef>
          </c:xVal>
          <c:yVal>
            <c:numRef>
              <c:f>'Заработная плата'!$B$23</c:f>
              <c:numCache>
                <c:formatCode>0</c:formatCode>
                <c:ptCount val="1"/>
                <c:pt idx="0">
                  <c:v>20417.400000000001</c:v>
                </c:pt>
              </c:numCache>
            </c:numRef>
          </c:yVal>
          <c:smooth val="0"/>
        </c:ser>
        <c:ser>
          <c:idx val="20"/>
          <c:order val="20"/>
          <c:tx>
            <c:strRef>
              <c:f>'Заработная плата'!$A$24</c:f>
              <c:strCache>
                <c:ptCount val="1"/>
                <c:pt idx="0">
                  <c:v>Сергиевский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плата'!$D$24</c:f>
              <c:numCache>
                <c:formatCode>0.0</c:formatCode>
                <c:ptCount val="1"/>
                <c:pt idx="0">
                  <c:v>11.516037796840029</c:v>
                </c:pt>
              </c:numCache>
            </c:numRef>
          </c:xVal>
          <c:yVal>
            <c:numRef>
              <c:f>'Заработная плата'!$B$24</c:f>
              <c:numCache>
                <c:formatCode>0</c:formatCode>
                <c:ptCount val="1"/>
                <c:pt idx="0">
                  <c:v>29842.7</c:v>
                </c:pt>
              </c:numCache>
            </c:numRef>
          </c:yVal>
          <c:smooth val="0"/>
        </c:ser>
        <c:ser>
          <c:idx val="21"/>
          <c:order val="21"/>
          <c:tx>
            <c:strRef>
              <c:f>'Заработная плата'!$A$25</c:f>
              <c:strCache>
                <c:ptCount val="1"/>
                <c:pt idx="0">
                  <c:v>Ставропольский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плата'!$D$25</c:f>
              <c:numCache>
                <c:formatCode>0.0</c:formatCode>
                <c:ptCount val="1"/>
                <c:pt idx="0">
                  <c:v>6.8546019344895015</c:v>
                </c:pt>
              </c:numCache>
            </c:numRef>
          </c:xVal>
          <c:yVal>
            <c:numRef>
              <c:f>'Заработная плата'!$B$25</c:f>
              <c:numCache>
                <c:formatCode>0</c:formatCode>
                <c:ptCount val="1"/>
                <c:pt idx="0">
                  <c:v>27857.9</c:v>
                </c:pt>
              </c:numCache>
            </c:numRef>
          </c:yVal>
          <c:smooth val="0"/>
        </c:ser>
        <c:ser>
          <c:idx val="22"/>
          <c:order val="22"/>
          <c:tx>
            <c:strRef>
              <c:f>'Заработная плата'!$A$26</c:f>
              <c:strCache>
                <c:ptCount val="1"/>
                <c:pt idx="0">
                  <c:v>Сызранский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плата'!$D$26</c:f>
              <c:numCache>
                <c:formatCode>0.0</c:formatCode>
                <c:ptCount val="1"/>
                <c:pt idx="0">
                  <c:v>6.6480361382170265</c:v>
                </c:pt>
              </c:numCache>
            </c:numRef>
          </c:xVal>
          <c:yVal>
            <c:numRef>
              <c:f>'Заработная плата'!$B$26</c:f>
              <c:numCache>
                <c:formatCode>0</c:formatCode>
                <c:ptCount val="1"/>
                <c:pt idx="0">
                  <c:v>23332.3</c:v>
                </c:pt>
              </c:numCache>
            </c:numRef>
          </c:yVal>
          <c:smooth val="0"/>
        </c:ser>
        <c:ser>
          <c:idx val="23"/>
          <c:order val="23"/>
          <c:tx>
            <c:strRef>
              <c:f>'Заработная плата'!$A$27</c:f>
              <c:strCache>
                <c:ptCount val="1"/>
                <c:pt idx="0">
                  <c:v>Хворостянский</c:v>
                </c:pt>
              </c:strCache>
            </c:strRef>
          </c:tx>
          <c:spPr>
            <a:ln w="47625">
              <a:noFill/>
            </a:ln>
          </c:spPr>
          <c:marker>
            <c:symbol val="circle"/>
            <c:size val="6"/>
            <c:spPr>
              <a:solidFill>
                <a:srgbClr val="4F81BD">
                  <a:lumMod val="50000"/>
                </a:srgbClr>
              </a:solidFill>
              <a:ln>
                <a:noFill/>
              </a:ln>
            </c:spPr>
          </c:marker>
          <c:dLbls>
            <c:dLbl>
              <c:idx val="0"/>
              <c:layout>
                <c:manualLayout>
                  <c:x val="-4.4196499781824342E-2"/>
                  <c:y val="-3.185490830569488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плата'!$D$27</c:f>
              <c:numCache>
                <c:formatCode>0.0</c:formatCode>
                <c:ptCount val="1"/>
                <c:pt idx="0">
                  <c:v>9.8046043585422087</c:v>
                </c:pt>
              </c:numCache>
            </c:numRef>
          </c:xVal>
          <c:yVal>
            <c:numRef>
              <c:f>'Заработная плата'!$B$27</c:f>
              <c:numCache>
                <c:formatCode>0</c:formatCode>
                <c:ptCount val="1"/>
                <c:pt idx="0">
                  <c:v>22985.1</c:v>
                </c:pt>
              </c:numCache>
            </c:numRef>
          </c:yVal>
          <c:smooth val="0"/>
        </c:ser>
        <c:ser>
          <c:idx val="24"/>
          <c:order val="24"/>
          <c:tx>
            <c:strRef>
              <c:f>'Заработная плата'!$A$28</c:f>
              <c:strCache>
                <c:ptCount val="1"/>
                <c:pt idx="0">
                  <c:v>Челно-Вершинский </c:v>
                </c:pt>
              </c:strCache>
            </c:strRef>
          </c:tx>
          <c:spPr>
            <a:ln w="47625">
              <a:noFill/>
            </a:ln>
          </c:spPr>
          <c:marker>
            <c:symbol val="circle"/>
            <c:size val="6"/>
            <c:spPr>
              <a:solidFill>
                <a:srgbClr val="4F81BD">
                  <a:lumMod val="50000"/>
                </a:srgbClr>
              </a:solidFill>
              <a:ln>
                <a:noFill/>
              </a:ln>
            </c:spPr>
          </c:marker>
          <c:dLbls>
            <c:dLbl>
              <c:idx val="0"/>
              <c:layout>
                <c:manualLayout>
                  <c:x val="-3.2589671198964085E-3"/>
                  <c:y val="-3.4693464491350849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плата'!$D$28</c:f>
              <c:numCache>
                <c:formatCode>0.0</c:formatCode>
                <c:ptCount val="1"/>
                <c:pt idx="0">
                  <c:v>7.7063270633451104</c:v>
                </c:pt>
              </c:numCache>
            </c:numRef>
          </c:xVal>
          <c:yVal>
            <c:numRef>
              <c:f>'Заработная плата'!$B$28</c:f>
              <c:numCache>
                <c:formatCode>0</c:formatCode>
                <c:ptCount val="1"/>
                <c:pt idx="0">
                  <c:v>21318.1</c:v>
                </c:pt>
              </c:numCache>
            </c:numRef>
          </c:yVal>
          <c:smooth val="0"/>
        </c:ser>
        <c:ser>
          <c:idx val="25"/>
          <c:order val="25"/>
          <c:tx>
            <c:strRef>
              <c:f>'Заработная плата'!$A$29</c:f>
              <c:strCache>
                <c:ptCount val="1"/>
                <c:pt idx="0">
                  <c:v>Шенталинский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плата'!$D$29</c:f>
              <c:numCache>
                <c:formatCode>0.0</c:formatCode>
                <c:ptCount val="1"/>
                <c:pt idx="0">
                  <c:v>6.4001418733043804</c:v>
                </c:pt>
              </c:numCache>
            </c:numRef>
          </c:xVal>
          <c:yVal>
            <c:numRef>
              <c:f>'Заработная плата'!$B$29</c:f>
              <c:numCache>
                <c:formatCode>0</c:formatCode>
                <c:ptCount val="1"/>
                <c:pt idx="0">
                  <c:v>21594.9</c:v>
                </c:pt>
              </c:numCache>
            </c:numRef>
          </c:yVal>
          <c:smooth val="0"/>
        </c:ser>
        <c:ser>
          <c:idx val="26"/>
          <c:order val="26"/>
          <c:tx>
            <c:strRef>
              <c:f>'Заработная плата'!$A$30</c:f>
              <c:strCache>
                <c:ptCount val="1"/>
                <c:pt idx="0">
                  <c:v>Шигонский </c:v>
                </c:pt>
              </c:strCache>
            </c:strRef>
          </c:tx>
          <c:spPr>
            <a:ln w="47625">
              <a:noFill/>
            </a:ln>
          </c:spPr>
          <c:marker>
            <c:symbol val="circle"/>
            <c:size val="6"/>
            <c:spPr>
              <a:solidFill>
                <a:schemeClr val="tx2">
                  <a:lumMod val="75000"/>
                </a:schemeClr>
              </a:solidFill>
              <a:ln>
                <a:noFill/>
              </a:ln>
            </c:spPr>
          </c:marker>
          <c:dLbls>
            <c:dLbl>
              <c:idx val="0"/>
              <c:layout>
                <c:manualLayout>
                  <c:x val="-1.9196697840576501E-3"/>
                  <c:y val="3.1556360504222799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плата'!$D$30</c:f>
              <c:numCache>
                <c:formatCode>0.0</c:formatCode>
                <c:ptCount val="1"/>
                <c:pt idx="0">
                  <c:v>6.245135130468138</c:v>
                </c:pt>
              </c:numCache>
            </c:numRef>
          </c:xVal>
          <c:yVal>
            <c:numRef>
              <c:f>'Заработная плата'!$B$30</c:f>
              <c:numCache>
                <c:formatCode>0</c:formatCode>
                <c:ptCount val="1"/>
                <c:pt idx="0">
                  <c:v>20470.7</c:v>
                </c:pt>
              </c:numCache>
            </c:numRef>
          </c:yVal>
          <c:smooth val="0"/>
        </c:ser>
        <c:dLbls>
          <c:showLegendKey val="0"/>
          <c:showVal val="1"/>
          <c:showCatName val="0"/>
          <c:showSerName val="0"/>
          <c:showPercent val="0"/>
          <c:showBubbleSize val="0"/>
        </c:dLbls>
        <c:axId val="276092800"/>
        <c:axId val="276246528"/>
      </c:scatterChart>
      <c:valAx>
        <c:axId val="276092800"/>
        <c:scaling>
          <c:orientation val="minMax"/>
          <c:max val="12"/>
          <c:min val="4.5"/>
        </c:scaling>
        <c:delete val="0"/>
        <c:axPos val="b"/>
        <c:title>
          <c:tx>
            <c:rich>
              <a:bodyPr/>
              <a:lstStyle/>
              <a:p>
                <a:pPr>
                  <a:defRPr/>
                </a:pPr>
                <a:r>
                  <a:rPr lang="ru-RU"/>
                  <a:t>Среднегодовой темп прироста заработной платы в 2014-2016 гг., %</a:t>
                </a:r>
              </a:p>
            </c:rich>
          </c:tx>
          <c:layout>
            <c:manualLayout>
              <c:xMode val="edge"/>
              <c:yMode val="edge"/>
              <c:x val="0.25556671831707728"/>
              <c:y val="0.94587639890740516"/>
            </c:manualLayout>
          </c:layout>
          <c:overlay val="0"/>
        </c:title>
        <c:numFmt formatCode="0.0" sourceLinked="1"/>
        <c:majorTickMark val="out"/>
        <c:minorTickMark val="none"/>
        <c:tickLblPos val="nextTo"/>
        <c:crossAx val="276246528"/>
        <c:crosses val="autoZero"/>
        <c:crossBetween val="midCat"/>
      </c:valAx>
      <c:valAx>
        <c:axId val="276246528"/>
        <c:scaling>
          <c:orientation val="minMax"/>
          <c:min val="19000"/>
        </c:scaling>
        <c:delete val="0"/>
        <c:axPos val="l"/>
        <c:title>
          <c:tx>
            <c:rich>
              <a:bodyPr rot="-5400000" vert="horz"/>
              <a:lstStyle/>
              <a:p>
                <a:pPr>
                  <a:defRPr/>
                </a:pPr>
                <a:r>
                  <a:rPr lang="ru-RU"/>
                  <a:t>Среднемесяная заработная плата в 2016 году , руб.</a:t>
                </a:r>
              </a:p>
            </c:rich>
          </c:tx>
          <c:layout>
            <c:manualLayout>
              <c:xMode val="edge"/>
              <c:yMode val="edge"/>
              <c:x val="8.5453337577133057E-3"/>
              <c:y val="0.18784358397227563"/>
            </c:manualLayout>
          </c:layout>
          <c:overlay val="0"/>
        </c:title>
        <c:numFmt formatCode="0" sourceLinked="1"/>
        <c:majorTickMark val="out"/>
        <c:minorTickMark val="none"/>
        <c:tickLblPos val="nextTo"/>
        <c:crossAx val="276092800"/>
        <c:crossesAt val="4"/>
        <c:crossBetween val="midCat"/>
      </c:valAx>
      <c:spPr>
        <a:noFill/>
        <a:ln>
          <a:solidFill>
            <a:schemeClr val="tx1"/>
          </a:solidFill>
        </a:ln>
      </c:spPr>
    </c:plotArea>
    <c:plotVisOnly val="1"/>
    <c:dispBlanksAs val="gap"/>
    <c:showDLblsOverMax val="0"/>
  </c:chart>
  <c:spPr>
    <a:noFill/>
  </c:spPr>
  <c:txPr>
    <a:bodyPr/>
    <a:lstStyle/>
    <a:p>
      <a:pPr>
        <a:defRPr sz="800" baseline="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23840769903737"/>
          <c:y val="0.24095595645481024"/>
          <c:w val="0.75623889969874036"/>
          <c:h val="0.53156931332950474"/>
        </c:manualLayout>
      </c:layout>
      <c:lineChart>
        <c:grouping val="standard"/>
        <c:varyColors val="0"/>
        <c:ser>
          <c:idx val="0"/>
          <c:order val="0"/>
          <c:tx>
            <c:strRef>
              <c:f>Лист1!$B$15</c:f>
              <c:strCache>
                <c:ptCount val="1"/>
                <c:pt idx="0">
                  <c:v>Камышлинский р-он</c:v>
                </c:pt>
              </c:strCache>
            </c:strRef>
          </c:tx>
          <c:spPr>
            <a:ln>
              <a:solidFill>
                <a:srgbClr val="C00000"/>
              </a:solidFill>
            </a:ln>
          </c:spPr>
          <c:marker>
            <c:spPr>
              <a:solidFill>
                <a:srgbClr val="C00000"/>
              </a:solidFill>
            </c:spPr>
          </c:marker>
          <c:dLbls>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Лист1!$A$16:$A$19</c:f>
              <c:numCache>
                <c:formatCode>General</c:formatCode>
                <c:ptCount val="4"/>
                <c:pt idx="0">
                  <c:v>2014</c:v>
                </c:pt>
                <c:pt idx="1">
                  <c:v>2015</c:v>
                </c:pt>
                <c:pt idx="2">
                  <c:v>2016</c:v>
                </c:pt>
                <c:pt idx="3">
                  <c:v>2017</c:v>
                </c:pt>
              </c:numCache>
            </c:numRef>
          </c:cat>
          <c:val>
            <c:numRef>
              <c:f>Лист1!$B$16:$B$19</c:f>
              <c:numCache>
                <c:formatCode>General</c:formatCode>
                <c:ptCount val="4"/>
                <c:pt idx="0">
                  <c:v>19486.099999999948</c:v>
                </c:pt>
                <c:pt idx="1">
                  <c:v>20286.2</c:v>
                </c:pt>
                <c:pt idx="2">
                  <c:v>21407.200000000001</c:v>
                </c:pt>
                <c:pt idx="3">
                  <c:v>22670.17</c:v>
                </c:pt>
              </c:numCache>
            </c:numRef>
          </c:val>
          <c:smooth val="0"/>
        </c:ser>
        <c:ser>
          <c:idx val="1"/>
          <c:order val="1"/>
          <c:tx>
            <c:strRef>
              <c:f>Лист1!$C$15</c:f>
              <c:strCache>
                <c:ptCount val="1"/>
                <c:pt idx="0">
                  <c:v>Самарская обл.</c:v>
                </c:pt>
              </c:strCache>
            </c:strRef>
          </c:tx>
          <c:spPr>
            <a:ln>
              <a:solidFill>
                <a:schemeClr val="tx2">
                  <a:lumMod val="75000"/>
                </a:schemeClr>
              </a:solidFill>
            </a:ln>
          </c:spPr>
          <c:marker>
            <c:symbol val="square"/>
            <c:size val="5"/>
            <c:spPr>
              <a:solidFill>
                <a:schemeClr val="accent1">
                  <a:lumMod val="50000"/>
                </a:schemeClr>
              </a:solidFill>
              <a:ln>
                <a:solidFill>
                  <a:schemeClr val="accent1">
                    <a:lumMod val="75000"/>
                  </a:schemeClr>
                </a:solidFill>
              </a:ln>
            </c:spPr>
          </c:marker>
          <c:dLbls>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Лист1!$A$16:$A$19</c:f>
              <c:numCache>
                <c:formatCode>General</c:formatCode>
                <c:ptCount val="4"/>
                <c:pt idx="0">
                  <c:v>2014</c:v>
                </c:pt>
                <c:pt idx="1">
                  <c:v>2015</c:v>
                </c:pt>
                <c:pt idx="2">
                  <c:v>2016</c:v>
                </c:pt>
                <c:pt idx="3">
                  <c:v>2017</c:v>
                </c:pt>
              </c:numCache>
            </c:numRef>
          </c:cat>
          <c:val>
            <c:numRef>
              <c:f>Лист1!$C$16:$C$19</c:f>
              <c:numCache>
                <c:formatCode>General</c:formatCode>
                <c:ptCount val="4"/>
                <c:pt idx="0">
                  <c:v>25884</c:v>
                </c:pt>
                <c:pt idx="1">
                  <c:v>26849</c:v>
                </c:pt>
                <c:pt idx="2">
                  <c:v>28295</c:v>
                </c:pt>
                <c:pt idx="3">
                  <c:v>30492</c:v>
                </c:pt>
              </c:numCache>
            </c:numRef>
          </c:val>
          <c:smooth val="0"/>
        </c:ser>
        <c:ser>
          <c:idx val="2"/>
          <c:order val="2"/>
          <c:tx>
            <c:strRef>
              <c:f>Лист1!$D$15</c:f>
              <c:strCache>
                <c:ptCount val="1"/>
                <c:pt idx="0">
                  <c:v>РФ</c:v>
                </c:pt>
              </c:strCache>
            </c:strRef>
          </c:tx>
          <c:spPr>
            <a:ln>
              <a:solidFill>
                <a:schemeClr val="bg1">
                  <a:lumMod val="50000"/>
                </a:schemeClr>
              </a:solidFill>
            </a:ln>
          </c:spPr>
          <c:marker>
            <c:spPr>
              <a:solidFill>
                <a:schemeClr val="bg1">
                  <a:lumMod val="50000"/>
                </a:schemeClr>
              </a:solidFill>
              <a:ln>
                <a:solidFill>
                  <a:schemeClr val="bg1">
                    <a:lumMod val="50000"/>
                  </a:schemeClr>
                </a:solidFill>
              </a:ln>
            </c:spPr>
          </c:marker>
          <c:dLbls>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Лист1!$A$16:$A$19</c:f>
              <c:numCache>
                <c:formatCode>General</c:formatCode>
                <c:ptCount val="4"/>
                <c:pt idx="0">
                  <c:v>2014</c:v>
                </c:pt>
                <c:pt idx="1">
                  <c:v>2015</c:v>
                </c:pt>
                <c:pt idx="2">
                  <c:v>2016</c:v>
                </c:pt>
                <c:pt idx="3">
                  <c:v>2017</c:v>
                </c:pt>
              </c:numCache>
            </c:numRef>
          </c:cat>
          <c:val>
            <c:numRef>
              <c:f>Лист1!$D$16:$D$19</c:f>
              <c:numCache>
                <c:formatCode>General</c:formatCode>
                <c:ptCount val="4"/>
                <c:pt idx="0">
                  <c:v>32495</c:v>
                </c:pt>
                <c:pt idx="1">
                  <c:v>34030</c:v>
                </c:pt>
                <c:pt idx="2">
                  <c:v>36709</c:v>
                </c:pt>
                <c:pt idx="3">
                  <c:v>39167</c:v>
                </c:pt>
              </c:numCache>
            </c:numRef>
          </c:val>
          <c:smooth val="0"/>
        </c:ser>
        <c:dLbls>
          <c:showLegendKey val="0"/>
          <c:showVal val="0"/>
          <c:showCatName val="0"/>
          <c:showSerName val="0"/>
          <c:showPercent val="0"/>
          <c:showBubbleSize val="0"/>
        </c:dLbls>
        <c:marker val="1"/>
        <c:smooth val="0"/>
        <c:axId val="276282368"/>
        <c:axId val="276284160"/>
      </c:lineChart>
      <c:catAx>
        <c:axId val="276282368"/>
        <c:scaling>
          <c:orientation val="minMax"/>
        </c:scaling>
        <c:delete val="0"/>
        <c:axPos val="b"/>
        <c:numFmt formatCode="General" sourceLinked="1"/>
        <c:majorTickMark val="none"/>
        <c:minorTickMark val="none"/>
        <c:tickLblPos val="nextTo"/>
        <c:txPr>
          <a:bodyPr rot="0" vert="horz"/>
          <a:lstStyle/>
          <a:p>
            <a:pPr>
              <a:defRPr sz="800" b="0" i="0" u="none" strike="noStrike" baseline="0">
                <a:solidFill>
                  <a:srgbClr val="000000"/>
                </a:solidFill>
                <a:latin typeface="Calibri"/>
                <a:ea typeface="Calibri"/>
                <a:cs typeface="Calibri"/>
              </a:defRPr>
            </a:pPr>
            <a:endParaRPr lang="ru-RU"/>
          </a:p>
        </c:txPr>
        <c:crossAx val="276284160"/>
        <c:crosses val="autoZero"/>
        <c:auto val="1"/>
        <c:lblAlgn val="ctr"/>
        <c:lblOffset val="100"/>
        <c:noMultiLvlLbl val="0"/>
      </c:catAx>
      <c:valAx>
        <c:axId val="276284160"/>
        <c:scaling>
          <c:orientation val="minMax"/>
          <c:max val="40000"/>
          <c:min val="15000"/>
        </c:scaling>
        <c:delete val="0"/>
        <c:axPos val="l"/>
        <c:majorGridlines/>
        <c:numFmt formatCode="General" sourceLinked="1"/>
        <c:majorTickMark val="none"/>
        <c:minorTickMark val="none"/>
        <c:tickLblPos val="nextTo"/>
        <c:spPr>
          <a:ln w="9528">
            <a:noFill/>
          </a:ln>
        </c:spPr>
        <c:txPr>
          <a:bodyPr rot="0" vert="horz"/>
          <a:lstStyle/>
          <a:p>
            <a:pPr>
              <a:defRPr sz="800" b="0" i="0" u="none" strike="noStrike" baseline="0">
                <a:solidFill>
                  <a:srgbClr val="000000"/>
                </a:solidFill>
                <a:latin typeface="Calibri"/>
                <a:ea typeface="Calibri"/>
                <a:cs typeface="Calibri"/>
              </a:defRPr>
            </a:pPr>
            <a:endParaRPr lang="ru-RU"/>
          </a:p>
        </c:txPr>
        <c:crossAx val="276282368"/>
        <c:crosses val="autoZero"/>
        <c:crossBetween val="between"/>
      </c:valAx>
    </c:plotArea>
    <c:legend>
      <c:legendPos val="b"/>
      <c:layout>
        <c:manualLayout>
          <c:xMode val="edge"/>
          <c:yMode val="edge"/>
          <c:x val="0.13649732435936382"/>
          <c:y val="0.84830716160479969"/>
          <c:w val="0.79379680647119077"/>
          <c:h val="0.15169103862017283"/>
        </c:manualLayout>
      </c:layout>
      <c:overlay val="0"/>
      <c:txPr>
        <a:bodyPr/>
        <a:lstStyle/>
        <a:p>
          <a:pPr>
            <a:defRPr sz="735"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800"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919072615923014E-2"/>
          <c:y val="0.21162626092922443"/>
          <c:w val="0.79372665021953281"/>
          <c:h val="0.56094807621664089"/>
        </c:manualLayout>
      </c:layout>
      <c:lineChart>
        <c:grouping val="standard"/>
        <c:varyColors val="0"/>
        <c:ser>
          <c:idx val="0"/>
          <c:order val="0"/>
          <c:tx>
            <c:strRef>
              <c:f>Лист1!$B$41</c:f>
              <c:strCache>
                <c:ptCount val="1"/>
                <c:pt idx="0">
                  <c:v>Камышлинский р-он</c:v>
                </c:pt>
              </c:strCache>
            </c:strRef>
          </c:tx>
          <c:spPr>
            <a:ln>
              <a:solidFill>
                <a:srgbClr val="C00000"/>
              </a:solidFill>
            </a:ln>
          </c:spPr>
          <c:marker>
            <c:spPr>
              <a:solidFill>
                <a:srgbClr val="C00000"/>
              </a:solidFill>
              <a:ln>
                <a:solidFill>
                  <a:srgbClr val="C00000"/>
                </a:solidFill>
              </a:ln>
            </c:spPr>
          </c:marker>
          <c:dLbls>
            <c:txPr>
              <a:bodyPr/>
              <a:lstStyle/>
              <a:p>
                <a:pPr>
                  <a:defRPr sz="80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Лист1!$A$42:$A$44</c:f>
              <c:numCache>
                <c:formatCode>General</c:formatCode>
                <c:ptCount val="3"/>
                <c:pt idx="0">
                  <c:v>2014</c:v>
                </c:pt>
                <c:pt idx="1">
                  <c:v>2015</c:v>
                </c:pt>
                <c:pt idx="2">
                  <c:v>2016</c:v>
                </c:pt>
              </c:numCache>
            </c:numRef>
          </c:cat>
          <c:val>
            <c:numRef>
              <c:f>Лист1!$B$42:$B$44</c:f>
              <c:numCache>
                <c:formatCode>0.00</c:formatCode>
                <c:ptCount val="3"/>
                <c:pt idx="0" formatCode="General">
                  <c:v>1.9000000000000001</c:v>
                </c:pt>
                <c:pt idx="1">
                  <c:v>1.9301914106482225</c:v>
                </c:pt>
                <c:pt idx="2">
                  <c:v>2.1653543307086607</c:v>
                </c:pt>
              </c:numCache>
            </c:numRef>
          </c:val>
          <c:smooth val="0"/>
        </c:ser>
        <c:ser>
          <c:idx val="1"/>
          <c:order val="1"/>
          <c:tx>
            <c:strRef>
              <c:f>Лист1!$C$41</c:f>
              <c:strCache>
                <c:ptCount val="1"/>
                <c:pt idx="0">
                  <c:v>Самарская обл.</c:v>
                </c:pt>
              </c:strCache>
            </c:strRef>
          </c:tx>
          <c:spPr>
            <a:ln>
              <a:solidFill>
                <a:schemeClr val="accent1">
                  <a:lumMod val="75000"/>
                </a:schemeClr>
              </a:solidFill>
            </a:ln>
          </c:spPr>
          <c:marker>
            <c:symbol val="square"/>
            <c:size val="5"/>
            <c:spPr>
              <a:solidFill>
                <a:schemeClr val="accent1">
                  <a:lumMod val="75000"/>
                </a:schemeClr>
              </a:solidFill>
              <a:ln>
                <a:solidFill>
                  <a:schemeClr val="accent1">
                    <a:lumMod val="75000"/>
                  </a:schemeClr>
                </a:solidFill>
              </a:ln>
            </c:spPr>
          </c:marker>
          <c:dLbls>
            <c:txPr>
              <a:bodyPr/>
              <a:lstStyle/>
              <a:p>
                <a:pPr>
                  <a:defRPr sz="80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Лист1!$A$42:$A$44</c:f>
              <c:numCache>
                <c:formatCode>General</c:formatCode>
                <c:ptCount val="3"/>
                <c:pt idx="0">
                  <c:v>2014</c:v>
                </c:pt>
                <c:pt idx="1">
                  <c:v>2015</c:v>
                </c:pt>
                <c:pt idx="2">
                  <c:v>2016</c:v>
                </c:pt>
              </c:numCache>
            </c:numRef>
          </c:cat>
          <c:val>
            <c:numRef>
              <c:f>Лист1!$C$42:$C$44</c:f>
              <c:numCache>
                <c:formatCode>General</c:formatCode>
                <c:ptCount val="3"/>
                <c:pt idx="0">
                  <c:v>1</c:v>
                </c:pt>
                <c:pt idx="1">
                  <c:v>1.3</c:v>
                </c:pt>
                <c:pt idx="2">
                  <c:v>1.3</c:v>
                </c:pt>
              </c:numCache>
            </c:numRef>
          </c:val>
          <c:smooth val="0"/>
        </c:ser>
        <c:ser>
          <c:idx val="2"/>
          <c:order val="2"/>
          <c:tx>
            <c:strRef>
              <c:f>Лист1!$D$41</c:f>
              <c:strCache>
                <c:ptCount val="1"/>
                <c:pt idx="0">
                  <c:v>РФ</c:v>
                </c:pt>
              </c:strCache>
            </c:strRef>
          </c:tx>
          <c:spPr>
            <a:ln>
              <a:solidFill>
                <a:schemeClr val="bg1">
                  <a:lumMod val="50000"/>
                </a:schemeClr>
              </a:solidFill>
            </a:ln>
          </c:spPr>
          <c:marker>
            <c:symbol val="square"/>
            <c:size val="5"/>
            <c:spPr>
              <a:solidFill>
                <a:schemeClr val="bg1">
                  <a:lumMod val="50000"/>
                </a:schemeClr>
              </a:solidFill>
              <a:ln>
                <a:solidFill>
                  <a:schemeClr val="bg1">
                    <a:lumMod val="50000"/>
                  </a:schemeClr>
                </a:solidFill>
              </a:ln>
            </c:spPr>
          </c:marker>
          <c:dLbls>
            <c:txPr>
              <a:bodyPr/>
              <a:lstStyle/>
              <a:p>
                <a:pPr>
                  <a:defRPr sz="80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Лист1!$A$42:$A$44</c:f>
              <c:numCache>
                <c:formatCode>General</c:formatCode>
                <c:ptCount val="3"/>
                <c:pt idx="0">
                  <c:v>2014</c:v>
                </c:pt>
                <c:pt idx="1">
                  <c:v>2015</c:v>
                </c:pt>
                <c:pt idx="2">
                  <c:v>2016</c:v>
                </c:pt>
              </c:numCache>
            </c:numRef>
          </c:cat>
          <c:val>
            <c:numRef>
              <c:f>Лист1!$D$42:$D$44</c:f>
              <c:numCache>
                <c:formatCode>General</c:formatCode>
                <c:ptCount val="3"/>
                <c:pt idx="0">
                  <c:v>1.2</c:v>
                </c:pt>
                <c:pt idx="1">
                  <c:v>1.3</c:v>
                </c:pt>
                <c:pt idx="2">
                  <c:v>1.2</c:v>
                </c:pt>
              </c:numCache>
            </c:numRef>
          </c:val>
          <c:smooth val="0"/>
        </c:ser>
        <c:dLbls>
          <c:showLegendKey val="0"/>
          <c:showVal val="0"/>
          <c:showCatName val="0"/>
          <c:showSerName val="0"/>
          <c:showPercent val="0"/>
          <c:showBubbleSize val="0"/>
        </c:dLbls>
        <c:marker val="1"/>
        <c:smooth val="0"/>
        <c:axId val="276344192"/>
        <c:axId val="276350080"/>
      </c:lineChart>
      <c:catAx>
        <c:axId val="276344192"/>
        <c:scaling>
          <c:orientation val="minMax"/>
        </c:scaling>
        <c:delete val="0"/>
        <c:axPos val="b"/>
        <c:numFmt formatCode="General" sourceLinked="1"/>
        <c:majorTickMark val="none"/>
        <c:minorTickMark val="none"/>
        <c:tickLblPos val="nextTo"/>
        <c:txPr>
          <a:bodyPr rot="0" vert="horz"/>
          <a:lstStyle/>
          <a:p>
            <a:pPr>
              <a:defRPr sz="801" b="0" i="0" u="none" strike="noStrike" baseline="0">
                <a:solidFill>
                  <a:srgbClr val="000000"/>
                </a:solidFill>
                <a:latin typeface="Calibri"/>
                <a:ea typeface="Calibri"/>
                <a:cs typeface="Calibri"/>
              </a:defRPr>
            </a:pPr>
            <a:endParaRPr lang="ru-RU"/>
          </a:p>
        </c:txPr>
        <c:crossAx val="276350080"/>
        <c:crosses val="autoZero"/>
        <c:auto val="1"/>
        <c:lblAlgn val="ctr"/>
        <c:lblOffset val="100"/>
        <c:noMultiLvlLbl val="0"/>
      </c:catAx>
      <c:valAx>
        <c:axId val="276350080"/>
        <c:scaling>
          <c:orientation val="minMax"/>
          <c:max val="2.2999999999999998"/>
          <c:min val="0.8"/>
        </c:scaling>
        <c:delete val="0"/>
        <c:axPos val="l"/>
        <c:majorGridlines/>
        <c:numFmt formatCode="General" sourceLinked="1"/>
        <c:majorTickMark val="none"/>
        <c:minorTickMark val="none"/>
        <c:tickLblPos val="nextTo"/>
        <c:spPr>
          <a:ln w="9534">
            <a:noFill/>
          </a:ln>
        </c:spPr>
        <c:txPr>
          <a:bodyPr rot="0" vert="horz"/>
          <a:lstStyle/>
          <a:p>
            <a:pPr>
              <a:defRPr sz="801" b="0" i="0" u="none" strike="noStrike" baseline="0">
                <a:solidFill>
                  <a:srgbClr val="000000"/>
                </a:solidFill>
                <a:latin typeface="Calibri"/>
                <a:ea typeface="Calibri"/>
                <a:cs typeface="Calibri"/>
              </a:defRPr>
            </a:pPr>
            <a:endParaRPr lang="ru-RU"/>
          </a:p>
        </c:txPr>
        <c:crossAx val="276344192"/>
        <c:crosses val="autoZero"/>
        <c:crossBetween val="between"/>
      </c:valAx>
    </c:plotArea>
    <c:legend>
      <c:legendPos val="b"/>
      <c:layout>
        <c:manualLayout>
          <c:xMode val="edge"/>
          <c:yMode val="edge"/>
          <c:x val="7.4946351706036834E-2"/>
          <c:y val="0.85411653543307164"/>
          <c:w val="0.81426729658792618"/>
          <c:h val="0.12155590551181121"/>
        </c:manualLayout>
      </c:layout>
      <c:overlay val="0"/>
      <c:txPr>
        <a:bodyPr/>
        <a:lstStyle/>
        <a:p>
          <a:pPr>
            <a:defRPr sz="736"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801"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33899016047713"/>
          <c:y val="7.2135830152800812E-2"/>
          <c:w val="0.74708087207335239"/>
          <c:h val="0.85634127407038962"/>
        </c:manualLayout>
      </c:layout>
      <c:barChart>
        <c:barDir val="bar"/>
        <c:grouping val="clustered"/>
        <c:varyColors val="0"/>
        <c:ser>
          <c:idx val="0"/>
          <c:order val="0"/>
          <c:invertIfNegative val="0"/>
          <c:dPt>
            <c:idx val="8"/>
            <c:invertIfNegative val="0"/>
            <c:bubble3D val="0"/>
            <c:spPr>
              <a:solidFill>
                <a:srgbClr val="C50000"/>
              </a:solidFill>
            </c:spPr>
          </c:dPt>
          <c:dLbls>
            <c:showLegendKey val="0"/>
            <c:showVal val="1"/>
            <c:showCatName val="0"/>
            <c:showSerName val="0"/>
            <c:showPercent val="0"/>
            <c:showBubbleSize val="0"/>
            <c:showLeaderLines val="0"/>
          </c:dLbls>
          <c:cat>
            <c:strRef>
              <c:f>Койкомест!$A$1:$A$26</c:f>
              <c:strCache>
                <c:ptCount val="26"/>
                <c:pt idx="0">
                  <c:v>Безенчукский </c:v>
                </c:pt>
                <c:pt idx="1">
                  <c:v>Богатовский </c:v>
                </c:pt>
                <c:pt idx="2">
                  <c:v>Большеглушицкий </c:v>
                </c:pt>
                <c:pt idx="3">
                  <c:v>Большечерниговский </c:v>
                </c:pt>
                <c:pt idx="4">
                  <c:v>Борский </c:v>
                </c:pt>
                <c:pt idx="5">
                  <c:v>Волжский </c:v>
                </c:pt>
                <c:pt idx="6">
                  <c:v>Елховский </c:v>
                </c:pt>
                <c:pt idx="7">
                  <c:v>Исаклинский </c:v>
                </c:pt>
                <c:pt idx="8">
                  <c:v>Камышлинский </c:v>
                </c:pt>
                <c:pt idx="9">
                  <c:v>Кинельский </c:v>
                </c:pt>
                <c:pt idx="10">
                  <c:v>Кинель-Черкасский </c:v>
                </c:pt>
                <c:pt idx="11">
                  <c:v>Клявлинский</c:v>
                </c:pt>
                <c:pt idx="12">
                  <c:v>Кошкинский </c:v>
                </c:pt>
                <c:pt idx="13">
                  <c:v>Красноармейский </c:v>
                </c:pt>
                <c:pt idx="14">
                  <c:v>Красноярский </c:v>
                </c:pt>
                <c:pt idx="15">
                  <c:v>Нефтегорский </c:v>
                </c:pt>
                <c:pt idx="16">
                  <c:v>Пестравский </c:v>
                </c:pt>
                <c:pt idx="17">
                  <c:v>Похвистневский </c:v>
                </c:pt>
                <c:pt idx="18">
                  <c:v>Приволжский </c:v>
                </c:pt>
                <c:pt idx="19">
                  <c:v>Сергиевский </c:v>
                </c:pt>
                <c:pt idx="20">
                  <c:v>Ставропольский </c:v>
                </c:pt>
                <c:pt idx="21">
                  <c:v>Сызранский</c:v>
                </c:pt>
                <c:pt idx="22">
                  <c:v>Хворостянский </c:v>
                </c:pt>
                <c:pt idx="23">
                  <c:v>Челно-Вершинский </c:v>
                </c:pt>
                <c:pt idx="24">
                  <c:v>Шенталинский </c:v>
                </c:pt>
                <c:pt idx="25">
                  <c:v>Шигонский </c:v>
                </c:pt>
              </c:strCache>
            </c:strRef>
          </c:cat>
          <c:val>
            <c:numRef>
              <c:f>Койкомест!$B$1:$B$26</c:f>
              <c:numCache>
                <c:formatCode>General</c:formatCode>
                <c:ptCount val="26"/>
                <c:pt idx="0">
                  <c:v>57.5</c:v>
                </c:pt>
                <c:pt idx="1">
                  <c:v>52.6</c:v>
                </c:pt>
                <c:pt idx="2">
                  <c:v>50.9</c:v>
                </c:pt>
                <c:pt idx="3">
                  <c:v>49</c:v>
                </c:pt>
                <c:pt idx="4">
                  <c:v>46.8</c:v>
                </c:pt>
                <c:pt idx="5">
                  <c:v>46.3</c:v>
                </c:pt>
                <c:pt idx="6">
                  <c:v>45.2</c:v>
                </c:pt>
                <c:pt idx="7">
                  <c:v>44</c:v>
                </c:pt>
                <c:pt idx="8">
                  <c:v>43.8</c:v>
                </c:pt>
                <c:pt idx="9">
                  <c:v>43.6</c:v>
                </c:pt>
                <c:pt idx="10">
                  <c:v>43.3</c:v>
                </c:pt>
                <c:pt idx="11">
                  <c:v>42.5</c:v>
                </c:pt>
                <c:pt idx="12">
                  <c:v>40.9</c:v>
                </c:pt>
                <c:pt idx="13">
                  <c:v>40.6</c:v>
                </c:pt>
                <c:pt idx="14">
                  <c:v>39.300000000000004</c:v>
                </c:pt>
                <c:pt idx="15">
                  <c:v>37.300000000000004</c:v>
                </c:pt>
                <c:pt idx="16">
                  <c:v>36.200000000000003</c:v>
                </c:pt>
                <c:pt idx="17">
                  <c:v>35.800000000000004</c:v>
                </c:pt>
                <c:pt idx="18">
                  <c:v>35.700000000000003</c:v>
                </c:pt>
                <c:pt idx="19">
                  <c:v>35.300000000000004</c:v>
                </c:pt>
                <c:pt idx="20">
                  <c:v>34.1</c:v>
                </c:pt>
                <c:pt idx="21">
                  <c:v>32.200000000000003</c:v>
                </c:pt>
                <c:pt idx="22">
                  <c:v>31.4</c:v>
                </c:pt>
                <c:pt idx="23">
                  <c:v>28.6</c:v>
                </c:pt>
                <c:pt idx="24">
                  <c:v>26.3</c:v>
                </c:pt>
                <c:pt idx="25">
                  <c:v>20.8</c:v>
                </c:pt>
              </c:numCache>
            </c:numRef>
          </c:val>
        </c:ser>
        <c:ser>
          <c:idx val="1"/>
          <c:order val="1"/>
          <c:spPr>
            <a:noFill/>
          </c:spPr>
          <c:invertIfNegative val="0"/>
          <c:trendline>
            <c:spPr>
              <a:ln w="19048">
                <a:prstDash val="sysDash"/>
              </a:ln>
            </c:spPr>
            <c:trendlineType val="linear"/>
            <c:dispRSqr val="0"/>
            <c:dispEq val="0"/>
          </c:trendline>
          <c:cat>
            <c:strRef>
              <c:f>Койкомест!$A$1:$A$26</c:f>
              <c:strCache>
                <c:ptCount val="26"/>
                <c:pt idx="0">
                  <c:v>Безенчукский </c:v>
                </c:pt>
                <c:pt idx="1">
                  <c:v>Богатовский </c:v>
                </c:pt>
                <c:pt idx="2">
                  <c:v>Большеглушицкий </c:v>
                </c:pt>
                <c:pt idx="3">
                  <c:v>Большечерниговский </c:v>
                </c:pt>
                <c:pt idx="4">
                  <c:v>Борский </c:v>
                </c:pt>
                <c:pt idx="5">
                  <c:v>Волжский </c:v>
                </c:pt>
                <c:pt idx="6">
                  <c:v>Елховский </c:v>
                </c:pt>
                <c:pt idx="7">
                  <c:v>Исаклинский </c:v>
                </c:pt>
                <c:pt idx="8">
                  <c:v>Камышлинский </c:v>
                </c:pt>
                <c:pt idx="9">
                  <c:v>Кинельский </c:v>
                </c:pt>
                <c:pt idx="10">
                  <c:v>Кинель-Черкасский </c:v>
                </c:pt>
                <c:pt idx="11">
                  <c:v>Клявлинский</c:v>
                </c:pt>
                <c:pt idx="12">
                  <c:v>Кошкинский </c:v>
                </c:pt>
                <c:pt idx="13">
                  <c:v>Красноармейский </c:v>
                </c:pt>
                <c:pt idx="14">
                  <c:v>Красноярский </c:v>
                </c:pt>
                <c:pt idx="15">
                  <c:v>Нефтегорский </c:v>
                </c:pt>
                <c:pt idx="16">
                  <c:v>Пестравский </c:v>
                </c:pt>
                <c:pt idx="17">
                  <c:v>Похвистневский </c:v>
                </c:pt>
                <c:pt idx="18">
                  <c:v>Приволжский </c:v>
                </c:pt>
                <c:pt idx="19">
                  <c:v>Сергиевский </c:v>
                </c:pt>
                <c:pt idx="20">
                  <c:v>Ставропольский </c:v>
                </c:pt>
                <c:pt idx="21">
                  <c:v>Сызранский</c:v>
                </c:pt>
                <c:pt idx="22">
                  <c:v>Хворостянский </c:v>
                </c:pt>
                <c:pt idx="23">
                  <c:v>Челно-Вершинский </c:v>
                </c:pt>
                <c:pt idx="24">
                  <c:v>Шенталинский </c:v>
                </c:pt>
                <c:pt idx="25">
                  <c:v>Шигонский </c:v>
                </c:pt>
              </c:strCache>
            </c:strRef>
          </c:cat>
          <c:val>
            <c:numRef>
              <c:f>Койкомест!$C$1:$C$26</c:f>
              <c:numCache>
                <c:formatCode>General</c:formatCode>
                <c:ptCount val="26"/>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pt idx="24">
                  <c:v>40</c:v>
                </c:pt>
                <c:pt idx="25">
                  <c:v>40</c:v>
                </c:pt>
              </c:numCache>
            </c:numRef>
          </c:val>
        </c:ser>
        <c:dLbls>
          <c:showLegendKey val="0"/>
          <c:showVal val="0"/>
          <c:showCatName val="0"/>
          <c:showSerName val="0"/>
          <c:showPercent val="0"/>
          <c:showBubbleSize val="0"/>
        </c:dLbls>
        <c:gapWidth val="150"/>
        <c:axId val="274828672"/>
        <c:axId val="274830464"/>
      </c:barChart>
      <c:catAx>
        <c:axId val="274828672"/>
        <c:scaling>
          <c:orientation val="minMax"/>
        </c:scaling>
        <c:delete val="0"/>
        <c:axPos val="l"/>
        <c:numFmt formatCode="General" sourceLinked="1"/>
        <c:majorTickMark val="none"/>
        <c:minorTickMark val="none"/>
        <c:tickLblPos val="nextTo"/>
        <c:txPr>
          <a:bodyPr/>
          <a:lstStyle/>
          <a:p>
            <a:pPr>
              <a:defRPr baseline="0"/>
            </a:pPr>
            <a:endParaRPr lang="ru-RU"/>
          </a:p>
        </c:txPr>
        <c:crossAx val="274830464"/>
        <c:crosses val="autoZero"/>
        <c:auto val="1"/>
        <c:lblAlgn val="ctr"/>
        <c:lblOffset val="100"/>
        <c:noMultiLvlLbl val="0"/>
      </c:catAx>
      <c:valAx>
        <c:axId val="274830464"/>
        <c:scaling>
          <c:orientation val="minMax"/>
        </c:scaling>
        <c:delete val="1"/>
        <c:axPos val="b"/>
        <c:numFmt formatCode="General" sourceLinked="1"/>
        <c:majorTickMark val="out"/>
        <c:minorTickMark val="none"/>
        <c:tickLblPos val="none"/>
        <c:crossAx val="274828672"/>
        <c:crosses val="autoZero"/>
        <c:crossBetween val="between"/>
      </c:valAx>
    </c:plotArea>
    <c:plotVisOnly val="1"/>
    <c:dispBlanksAs val="gap"/>
    <c:showDLblsOverMax val="0"/>
  </c:chart>
  <c:txPr>
    <a:bodyPr/>
    <a:lstStyle/>
    <a:p>
      <a:pPr>
        <a:defRPr sz="800" baseline="0">
          <a:latin typeface="Times New Roman" pitchFamily="18" charset="0"/>
        </a:defRPr>
      </a:pPr>
      <a:endParaRPr lang="ru-RU"/>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68261872687868"/>
          <c:y val="0.175629431545332"/>
          <c:w val="0.69076153567860288"/>
          <c:h val="0.72830223398856164"/>
        </c:manualLayout>
      </c:layout>
      <c:barChart>
        <c:barDir val="bar"/>
        <c:grouping val="clustered"/>
        <c:varyColors val="0"/>
        <c:ser>
          <c:idx val="0"/>
          <c:order val="0"/>
          <c:invertIfNegative val="0"/>
          <c:dPt>
            <c:idx val="17"/>
            <c:invertIfNegative val="0"/>
            <c:bubble3D val="0"/>
            <c:spPr>
              <a:solidFill>
                <a:srgbClr val="C50000"/>
              </a:solidFill>
            </c:spPr>
          </c:dPt>
          <c:dLbls>
            <c:showLegendKey val="0"/>
            <c:showVal val="1"/>
            <c:showCatName val="0"/>
            <c:showSerName val="0"/>
            <c:showPercent val="0"/>
            <c:showBubbleSize val="0"/>
            <c:showLeaderLines val="0"/>
          </c:dLbls>
          <c:cat>
            <c:strRef>
              <c:f>'Здравоохранение 2'!$A$4:$A$29</c:f>
              <c:strCache>
                <c:ptCount val="26"/>
                <c:pt idx="0">
                  <c:v>Шигонский</c:v>
                </c:pt>
                <c:pt idx="1">
                  <c:v>Сергиевский</c:v>
                </c:pt>
                <c:pt idx="2">
                  <c:v>Красноярский</c:v>
                </c:pt>
                <c:pt idx="3">
                  <c:v>Кинель-Черкасский</c:v>
                </c:pt>
                <c:pt idx="4">
                  <c:v>Богатовский</c:v>
                </c:pt>
                <c:pt idx="5">
                  <c:v>Безенчукский</c:v>
                </c:pt>
                <c:pt idx="6">
                  <c:v>Клявлинский</c:v>
                </c:pt>
                <c:pt idx="7">
                  <c:v>Пестравский</c:v>
                </c:pt>
                <c:pt idx="8">
                  <c:v>Большечерниговский</c:v>
                </c:pt>
                <c:pt idx="9">
                  <c:v>Челно-Вершинский</c:v>
                </c:pt>
                <c:pt idx="10">
                  <c:v>Похвистневский</c:v>
                </c:pt>
                <c:pt idx="11">
                  <c:v>Красноармейский</c:v>
                </c:pt>
                <c:pt idx="12">
                  <c:v>Волжский</c:v>
                </c:pt>
                <c:pt idx="13">
                  <c:v>Хворостянский</c:v>
                </c:pt>
                <c:pt idx="14">
                  <c:v>Борский</c:v>
                </c:pt>
                <c:pt idx="15">
                  <c:v>Нефтегорский</c:v>
                </c:pt>
                <c:pt idx="16">
                  <c:v>Исаклинский</c:v>
                </c:pt>
                <c:pt idx="17">
                  <c:v>Камышлинский</c:v>
                </c:pt>
                <c:pt idx="18">
                  <c:v>Большеглушицкий</c:v>
                </c:pt>
                <c:pt idx="19">
                  <c:v>Кинельский</c:v>
                </c:pt>
                <c:pt idx="20">
                  <c:v>Шенталинский</c:v>
                </c:pt>
                <c:pt idx="21">
                  <c:v>Кошкинский</c:v>
                </c:pt>
                <c:pt idx="22">
                  <c:v>Приволжский</c:v>
                </c:pt>
                <c:pt idx="23">
                  <c:v>Сызранский</c:v>
                </c:pt>
                <c:pt idx="24">
                  <c:v>Елховский</c:v>
                </c:pt>
                <c:pt idx="25">
                  <c:v>Ставропольский</c:v>
                </c:pt>
              </c:strCache>
            </c:strRef>
          </c:cat>
          <c:val>
            <c:numRef>
              <c:f>'Здравоохранение 2'!$B$4:$B$29</c:f>
              <c:numCache>
                <c:formatCode>General</c:formatCode>
                <c:ptCount val="26"/>
                <c:pt idx="0">
                  <c:v>32.4</c:v>
                </c:pt>
                <c:pt idx="1">
                  <c:v>30.4</c:v>
                </c:pt>
                <c:pt idx="2">
                  <c:v>29.6</c:v>
                </c:pt>
                <c:pt idx="3">
                  <c:v>27.6</c:v>
                </c:pt>
                <c:pt idx="4">
                  <c:v>27.3</c:v>
                </c:pt>
                <c:pt idx="5">
                  <c:v>26.4</c:v>
                </c:pt>
                <c:pt idx="6">
                  <c:v>25.9</c:v>
                </c:pt>
                <c:pt idx="7">
                  <c:v>25</c:v>
                </c:pt>
                <c:pt idx="8">
                  <c:v>23.6</c:v>
                </c:pt>
                <c:pt idx="9">
                  <c:v>23.2</c:v>
                </c:pt>
                <c:pt idx="10">
                  <c:v>23</c:v>
                </c:pt>
                <c:pt idx="11">
                  <c:v>22.6</c:v>
                </c:pt>
                <c:pt idx="12">
                  <c:v>22.5</c:v>
                </c:pt>
                <c:pt idx="13">
                  <c:v>22.4</c:v>
                </c:pt>
                <c:pt idx="14">
                  <c:v>22.1</c:v>
                </c:pt>
                <c:pt idx="15">
                  <c:v>21.02</c:v>
                </c:pt>
                <c:pt idx="16">
                  <c:v>20.7</c:v>
                </c:pt>
                <c:pt idx="17">
                  <c:v>20.3</c:v>
                </c:pt>
                <c:pt idx="18">
                  <c:v>20.2</c:v>
                </c:pt>
                <c:pt idx="19">
                  <c:v>20</c:v>
                </c:pt>
                <c:pt idx="20">
                  <c:v>19.899999999999999</c:v>
                </c:pt>
                <c:pt idx="21">
                  <c:v>17.899999999999999</c:v>
                </c:pt>
                <c:pt idx="22">
                  <c:v>17.899999999999999</c:v>
                </c:pt>
                <c:pt idx="23">
                  <c:v>17.2</c:v>
                </c:pt>
                <c:pt idx="24">
                  <c:v>15.8</c:v>
                </c:pt>
                <c:pt idx="25">
                  <c:v>15.5</c:v>
                </c:pt>
              </c:numCache>
            </c:numRef>
          </c:val>
        </c:ser>
        <c:ser>
          <c:idx val="1"/>
          <c:order val="1"/>
          <c:spPr>
            <a:noFill/>
          </c:spPr>
          <c:invertIfNegative val="0"/>
          <c:trendline>
            <c:spPr>
              <a:ln>
                <a:prstDash val="dash"/>
              </a:ln>
            </c:spPr>
            <c:trendlineType val="linear"/>
            <c:dispRSqr val="0"/>
            <c:dispEq val="0"/>
          </c:trendline>
          <c:cat>
            <c:strRef>
              <c:f>'Здравоохранение 2'!$A$4:$A$29</c:f>
              <c:strCache>
                <c:ptCount val="26"/>
                <c:pt idx="0">
                  <c:v>Шигонский</c:v>
                </c:pt>
                <c:pt idx="1">
                  <c:v>Сергиевский</c:v>
                </c:pt>
                <c:pt idx="2">
                  <c:v>Красноярский</c:v>
                </c:pt>
                <c:pt idx="3">
                  <c:v>Кинель-Черкасский</c:v>
                </c:pt>
                <c:pt idx="4">
                  <c:v>Богатовский</c:v>
                </c:pt>
                <c:pt idx="5">
                  <c:v>Безенчукский</c:v>
                </c:pt>
                <c:pt idx="6">
                  <c:v>Клявлинский</c:v>
                </c:pt>
                <c:pt idx="7">
                  <c:v>Пестравский</c:v>
                </c:pt>
                <c:pt idx="8">
                  <c:v>Большечерниговский</c:v>
                </c:pt>
                <c:pt idx="9">
                  <c:v>Челно-Вершинский</c:v>
                </c:pt>
                <c:pt idx="10">
                  <c:v>Похвистневский</c:v>
                </c:pt>
                <c:pt idx="11">
                  <c:v>Красноармейский</c:v>
                </c:pt>
                <c:pt idx="12">
                  <c:v>Волжский</c:v>
                </c:pt>
                <c:pt idx="13">
                  <c:v>Хворостянский</c:v>
                </c:pt>
                <c:pt idx="14">
                  <c:v>Борский</c:v>
                </c:pt>
                <c:pt idx="15">
                  <c:v>Нефтегорский</c:v>
                </c:pt>
                <c:pt idx="16">
                  <c:v>Исаклинский</c:v>
                </c:pt>
                <c:pt idx="17">
                  <c:v>Камышлинский</c:v>
                </c:pt>
                <c:pt idx="18">
                  <c:v>Большеглушицкий</c:v>
                </c:pt>
                <c:pt idx="19">
                  <c:v>Кинельский</c:v>
                </c:pt>
                <c:pt idx="20">
                  <c:v>Шенталинский</c:v>
                </c:pt>
                <c:pt idx="21">
                  <c:v>Кошкинский</c:v>
                </c:pt>
                <c:pt idx="22">
                  <c:v>Приволжский</c:v>
                </c:pt>
                <c:pt idx="23">
                  <c:v>Сызранский</c:v>
                </c:pt>
                <c:pt idx="24">
                  <c:v>Елховский</c:v>
                </c:pt>
                <c:pt idx="25">
                  <c:v>Ставропольский</c:v>
                </c:pt>
              </c:strCache>
            </c:strRef>
          </c:cat>
          <c:val>
            <c:numRef>
              <c:f>'Здравоохранение 2'!$C$4:$C$29</c:f>
              <c:numCache>
                <c:formatCode>General</c:formatCode>
                <c:ptCount val="26"/>
                <c:pt idx="0">
                  <c:v>22.708461538461489</c:v>
                </c:pt>
                <c:pt idx="1">
                  <c:v>22.708461538461489</c:v>
                </c:pt>
                <c:pt idx="2">
                  <c:v>22.708461538461489</c:v>
                </c:pt>
                <c:pt idx="3">
                  <c:v>22.708461538461489</c:v>
                </c:pt>
                <c:pt idx="4">
                  <c:v>22.708461538461489</c:v>
                </c:pt>
                <c:pt idx="5">
                  <c:v>22.708461538461489</c:v>
                </c:pt>
                <c:pt idx="6">
                  <c:v>22.708461538461489</c:v>
                </c:pt>
                <c:pt idx="7">
                  <c:v>22.708461538461489</c:v>
                </c:pt>
                <c:pt idx="8">
                  <c:v>22.708461538461489</c:v>
                </c:pt>
                <c:pt idx="9">
                  <c:v>22.708461538461489</c:v>
                </c:pt>
                <c:pt idx="10">
                  <c:v>22.708461538461489</c:v>
                </c:pt>
                <c:pt idx="11">
                  <c:v>22.708461538461489</c:v>
                </c:pt>
                <c:pt idx="12">
                  <c:v>22.708461538461489</c:v>
                </c:pt>
                <c:pt idx="13">
                  <c:v>22.708461538461489</c:v>
                </c:pt>
                <c:pt idx="14">
                  <c:v>22.708461538461489</c:v>
                </c:pt>
                <c:pt idx="15">
                  <c:v>22.708461538461489</c:v>
                </c:pt>
                <c:pt idx="16">
                  <c:v>22.708461538461489</c:v>
                </c:pt>
                <c:pt idx="17">
                  <c:v>22.708461538461489</c:v>
                </c:pt>
                <c:pt idx="18">
                  <c:v>22.708461538461489</c:v>
                </c:pt>
                <c:pt idx="19">
                  <c:v>22.708461538461489</c:v>
                </c:pt>
                <c:pt idx="20">
                  <c:v>22.708461538461489</c:v>
                </c:pt>
                <c:pt idx="21">
                  <c:v>22.708461538461489</c:v>
                </c:pt>
                <c:pt idx="22">
                  <c:v>22.708461538461489</c:v>
                </c:pt>
                <c:pt idx="23">
                  <c:v>22.708461538461489</c:v>
                </c:pt>
                <c:pt idx="24">
                  <c:v>22.708461538461489</c:v>
                </c:pt>
                <c:pt idx="25">
                  <c:v>22.708461538461489</c:v>
                </c:pt>
              </c:numCache>
            </c:numRef>
          </c:val>
        </c:ser>
        <c:dLbls>
          <c:showLegendKey val="0"/>
          <c:showVal val="0"/>
          <c:showCatName val="0"/>
          <c:showSerName val="0"/>
          <c:showPercent val="0"/>
          <c:showBubbleSize val="0"/>
        </c:dLbls>
        <c:gapWidth val="150"/>
        <c:axId val="276388864"/>
        <c:axId val="276427520"/>
      </c:barChart>
      <c:catAx>
        <c:axId val="276388864"/>
        <c:scaling>
          <c:orientation val="minMax"/>
        </c:scaling>
        <c:delete val="0"/>
        <c:axPos val="l"/>
        <c:majorTickMark val="none"/>
        <c:minorTickMark val="none"/>
        <c:tickLblPos val="nextTo"/>
        <c:crossAx val="276427520"/>
        <c:crosses val="autoZero"/>
        <c:auto val="1"/>
        <c:lblAlgn val="ctr"/>
        <c:lblOffset val="100"/>
        <c:tickLblSkip val="1"/>
        <c:noMultiLvlLbl val="0"/>
      </c:catAx>
      <c:valAx>
        <c:axId val="276427520"/>
        <c:scaling>
          <c:orientation val="minMax"/>
        </c:scaling>
        <c:delete val="0"/>
        <c:axPos val="b"/>
        <c:numFmt formatCode="General" sourceLinked="1"/>
        <c:majorTickMark val="out"/>
        <c:minorTickMark val="none"/>
        <c:tickLblPos val="nextTo"/>
        <c:crossAx val="276388864"/>
        <c:crosses val="autoZero"/>
        <c:crossBetween val="between"/>
      </c:valAx>
    </c:plotArea>
    <c:plotVisOnly val="1"/>
    <c:dispBlanksAs val="gap"/>
    <c:showDLblsOverMax val="0"/>
  </c:chart>
  <c:txPr>
    <a:bodyPr/>
    <a:lstStyle/>
    <a:p>
      <a:pPr>
        <a:defRPr sz="800" baseline="0">
          <a:latin typeface="Times New Roman" pitchFamily="18" charset="0"/>
        </a:defRPr>
      </a:pPr>
      <a:endParaRPr lang="ru-RU"/>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38589732183791"/>
          <c:y val="2.8833543806659794E-2"/>
          <c:w val="0.80988537980186359"/>
          <c:h val="0.85644104874359983"/>
        </c:manualLayout>
      </c:layout>
      <c:scatterChart>
        <c:scatterStyle val="lineMarker"/>
        <c:varyColors val="0"/>
        <c:ser>
          <c:idx val="0"/>
          <c:order val="0"/>
          <c:tx>
            <c:strRef>
              <c:f>Медперсонал!$A$2</c:f>
              <c:strCache>
                <c:ptCount val="1"/>
                <c:pt idx="0">
                  <c:v>Безенчукский</c:v>
                </c:pt>
              </c:strCache>
            </c:strRef>
          </c:tx>
          <c:spPr>
            <a:ln w="31856">
              <a:noFill/>
            </a:ln>
          </c:spPr>
          <c:marker>
            <c:symbol val="circle"/>
            <c:size val="4"/>
            <c:spPr>
              <a:solidFill>
                <a:schemeClr val="accent1">
                  <a:lumMod val="50000"/>
                </a:schemeClr>
              </a:solidFill>
              <a:ln>
                <a:noFill/>
              </a:ln>
            </c:spPr>
          </c:marker>
          <c:dLbls>
            <c:dLbl>
              <c:idx val="0"/>
              <c:layout>
                <c:manualLayout>
                  <c:x val="-9.559390353497256E-2"/>
                  <c:y val="-2.4247364127430841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c:f>
              <c:numCache>
                <c:formatCode>General</c:formatCode>
                <c:ptCount val="1"/>
                <c:pt idx="0">
                  <c:v>26.4</c:v>
                </c:pt>
              </c:numCache>
            </c:numRef>
          </c:xVal>
          <c:yVal>
            <c:numRef>
              <c:f>Медперсонал!$C$2</c:f>
              <c:numCache>
                <c:formatCode>General</c:formatCode>
                <c:ptCount val="1"/>
                <c:pt idx="0">
                  <c:v>80.900000000000006</c:v>
                </c:pt>
              </c:numCache>
            </c:numRef>
          </c:yVal>
          <c:smooth val="0"/>
        </c:ser>
        <c:ser>
          <c:idx val="1"/>
          <c:order val="1"/>
          <c:tx>
            <c:strRef>
              <c:f>Медперсонал!$A$3</c:f>
              <c:strCache>
                <c:ptCount val="1"/>
                <c:pt idx="0">
                  <c:v>Богатовский</c:v>
                </c:pt>
              </c:strCache>
            </c:strRef>
          </c:tx>
          <c:spPr>
            <a:ln w="31856">
              <a:noFill/>
            </a:ln>
          </c:spPr>
          <c:marker>
            <c:symbol val="circle"/>
            <c:size val="4"/>
            <c:spPr>
              <a:solidFill>
                <a:schemeClr val="accent1">
                  <a:lumMod val="50000"/>
                </a:schemeClr>
              </a:solidFill>
              <a:ln>
                <a:noFill/>
              </a:ln>
            </c:spPr>
          </c:marker>
          <c:dLbls>
            <c:dLbl>
              <c:idx val="0"/>
              <c:layout>
                <c:manualLayout>
                  <c:x val="-5.2971330075116424E-2"/>
                  <c:y val="-2.1253862383303741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Медперсонал!$B$3</c:f>
              <c:numCache>
                <c:formatCode>General</c:formatCode>
                <c:ptCount val="1"/>
                <c:pt idx="0">
                  <c:v>27.3</c:v>
                </c:pt>
              </c:numCache>
            </c:numRef>
          </c:xVal>
          <c:yVal>
            <c:numRef>
              <c:f>Медперсонал!$C$3</c:f>
              <c:numCache>
                <c:formatCode>General</c:formatCode>
                <c:ptCount val="1"/>
                <c:pt idx="0">
                  <c:v>84.5</c:v>
                </c:pt>
              </c:numCache>
            </c:numRef>
          </c:yVal>
          <c:smooth val="0"/>
        </c:ser>
        <c:ser>
          <c:idx val="2"/>
          <c:order val="2"/>
          <c:tx>
            <c:strRef>
              <c:f>Медперсонал!$A$4</c:f>
              <c:strCache>
                <c:ptCount val="1"/>
                <c:pt idx="0">
                  <c:v>Большеглушицкий</c:v>
                </c:pt>
              </c:strCache>
            </c:strRef>
          </c:tx>
          <c:spPr>
            <a:ln w="31856">
              <a:noFill/>
            </a:ln>
          </c:spPr>
          <c:marker>
            <c:symbol val="circle"/>
            <c:size val="4"/>
            <c:spPr>
              <a:solidFill>
                <a:schemeClr val="accent1">
                  <a:lumMod val="50000"/>
                </a:schemeClr>
              </a:solidFill>
              <a:ln>
                <a:noFill/>
              </a:ln>
            </c:spPr>
          </c:marker>
          <c:dLbls>
            <c:dLbl>
              <c:idx val="0"/>
              <c:layout>
                <c:manualLayout>
                  <c:x val="5.1790680764893134E-3"/>
                  <c:y val="-5.8580707753382814E-3"/>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Медперсонал!$B$4</c:f>
              <c:numCache>
                <c:formatCode>General</c:formatCode>
                <c:ptCount val="1"/>
                <c:pt idx="0">
                  <c:v>20.2</c:v>
                </c:pt>
              </c:numCache>
            </c:numRef>
          </c:xVal>
          <c:yVal>
            <c:numRef>
              <c:f>Медперсонал!$C$4</c:f>
              <c:numCache>
                <c:formatCode>General</c:formatCode>
                <c:ptCount val="1"/>
                <c:pt idx="0">
                  <c:v>71.099999999999994</c:v>
                </c:pt>
              </c:numCache>
            </c:numRef>
          </c:yVal>
          <c:smooth val="0"/>
        </c:ser>
        <c:ser>
          <c:idx val="3"/>
          <c:order val="3"/>
          <c:tx>
            <c:strRef>
              <c:f>Медперсонал!$A$5</c:f>
              <c:strCache>
                <c:ptCount val="1"/>
                <c:pt idx="0">
                  <c:v>Большечерниговский</c:v>
                </c:pt>
              </c:strCache>
            </c:strRef>
          </c:tx>
          <c:spPr>
            <a:ln w="31856">
              <a:noFill/>
            </a:ln>
          </c:spPr>
          <c:marker>
            <c:symbol val="circle"/>
            <c:size val="4"/>
            <c:spPr>
              <a:solidFill>
                <a:schemeClr val="accent1">
                  <a:lumMod val="50000"/>
                </a:schemeClr>
              </a:solidFill>
              <a:ln>
                <a:noFill/>
              </a:ln>
            </c:spPr>
          </c:marker>
          <c:dLbls>
            <c:dLbl>
              <c:idx val="0"/>
              <c:layout>
                <c:manualLayout>
                  <c:x val="-3.7322466689626468E-3"/>
                  <c:y val="5.2604948624942229E-3"/>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Медперсонал!$B$5</c:f>
              <c:numCache>
                <c:formatCode>General</c:formatCode>
                <c:ptCount val="1"/>
                <c:pt idx="0">
                  <c:v>23.6</c:v>
                </c:pt>
              </c:numCache>
            </c:numRef>
          </c:xVal>
          <c:yVal>
            <c:numRef>
              <c:f>Медперсонал!$C$5</c:f>
              <c:numCache>
                <c:formatCode>General</c:formatCode>
                <c:ptCount val="1"/>
                <c:pt idx="0">
                  <c:v>63.9</c:v>
                </c:pt>
              </c:numCache>
            </c:numRef>
          </c:yVal>
          <c:smooth val="0"/>
        </c:ser>
        <c:ser>
          <c:idx val="4"/>
          <c:order val="4"/>
          <c:tx>
            <c:strRef>
              <c:f>Медперсонал!$A$6</c:f>
              <c:strCache>
                <c:ptCount val="1"/>
                <c:pt idx="0">
                  <c:v>Борский</c:v>
                </c:pt>
              </c:strCache>
            </c:strRef>
          </c:tx>
          <c:spPr>
            <a:ln w="31856">
              <a:noFill/>
            </a:ln>
          </c:spPr>
          <c:marker>
            <c:symbol val="circle"/>
            <c:size val="4"/>
            <c:spPr>
              <a:solidFill>
                <a:schemeClr val="accent1">
                  <a:lumMod val="50000"/>
                </a:schemeClr>
              </a:solidFill>
              <a:ln>
                <a:noFill/>
              </a:ln>
            </c:spPr>
          </c:marker>
          <c:dLbls>
            <c:spPr>
              <a:noFill/>
              <a:ln w="16990">
                <a:noFill/>
              </a:ln>
            </c:spPr>
            <c:dLblPos val="t"/>
            <c:showLegendKey val="0"/>
            <c:showVal val="0"/>
            <c:showCatName val="0"/>
            <c:showSerName val="1"/>
            <c:showPercent val="0"/>
            <c:showBubbleSize val="0"/>
            <c:showLeaderLines val="0"/>
          </c:dLbls>
          <c:xVal>
            <c:numRef>
              <c:f>Медперсонал!$B$6</c:f>
              <c:numCache>
                <c:formatCode>General</c:formatCode>
                <c:ptCount val="1"/>
                <c:pt idx="0">
                  <c:v>22.1</c:v>
                </c:pt>
              </c:numCache>
            </c:numRef>
          </c:xVal>
          <c:yVal>
            <c:numRef>
              <c:f>Медперсонал!$C$6</c:f>
              <c:numCache>
                <c:formatCode>General</c:formatCode>
                <c:ptCount val="1"/>
                <c:pt idx="0">
                  <c:v>84.7</c:v>
                </c:pt>
              </c:numCache>
            </c:numRef>
          </c:yVal>
          <c:smooth val="0"/>
        </c:ser>
        <c:ser>
          <c:idx val="5"/>
          <c:order val="5"/>
          <c:tx>
            <c:strRef>
              <c:f>Медперсонал!$A$7</c:f>
              <c:strCache>
                <c:ptCount val="1"/>
                <c:pt idx="0">
                  <c:v>Волжский</c:v>
                </c:pt>
              </c:strCache>
            </c:strRef>
          </c:tx>
          <c:spPr>
            <a:ln w="31856">
              <a:noFill/>
            </a:ln>
          </c:spPr>
          <c:marker>
            <c:symbol val="circle"/>
            <c:size val="4"/>
            <c:spPr>
              <a:solidFill>
                <a:schemeClr val="accent1">
                  <a:lumMod val="50000"/>
                </a:schemeClr>
              </a:solidFill>
              <a:ln>
                <a:noFill/>
              </a:ln>
            </c:spPr>
          </c:marker>
          <c:dLbls>
            <c:dLbl>
              <c:idx val="0"/>
              <c:layout>
                <c:manualLayout>
                  <c:x val="-5.231428820345578E-2"/>
                  <c:y val="-3.0578512396694214E-2"/>
                </c:manualLayout>
              </c:layout>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Медперсонал!$B$7</c:f>
              <c:numCache>
                <c:formatCode>General</c:formatCode>
                <c:ptCount val="1"/>
                <c:pt idx="0">
                  <c:v>22.5</c:v>
                </c:pt>
              </c:numCache>
            </c:numRef>
          </c:xVal>
          <c:yVal>
            <c:numRef>
              <c:f>Медперсонал!$C$7</c:f>
              <c:numCache>
                <c:formatCode>General</c:formatCode>
                <c:ptCount val="1"/>
                <c:pt idx="0">
                  <c:v>46.2</c:v>
                </c:pt>
              </c:numCache>
            </c:numRef>
          </c:yVal>
          <c:smooth val="0"/>
        </c:ser>
        <c:ser>
          <c:idx val="6"/>
          <c:order val="6"/>
          <c:tx>
            <c:strRef>
              <c:f>Медперсонал!$A$8</c:f>
              <c:strCache>
                <c:ptCount val="1"/>
                <c:pt idx="0">
                  <c:v>Елховский</c:v>
                </c:pt>
              </c:strCache>
            </c:strRef>
          </c:tx>
          <c:spPr>
            <a:ln w="31856">
              <a:noFill/>
            </a:ln>
          </c:spPr>
          <c:marker>
            <c:symbol val="circle"/>
            <c:size val="4"/>
            <c:spPr>
              <a:solidFill>
                <a:schemeClr val="accent1">
                  <a:lumMod val="50000"/>
                </a:schemeClr>
              </a:solidFill>
            </c:spPr>
          </c:marker>
          <c:dLbls>
            <c:dLbl>
              <c:idx val="0"/>
              <c:layout>
                <c:manualLayout>
                  <c:x val="1.6812821359083224E-3"/>
                  <c:y val="5.6876533138418145E-3"/>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Медперсонал!$B$8</c:f>
              <c:numCache>
                <c:formatCode>General</c:formatCode>
                <c:ptCount val="1"/>
                <c:pt idx="0">
                  <c:v>15.8</c:v>
                </c:pt>
              </c:numCache>
            </c:numRef>
          </c:xVal>
          <c:yVal>
            <c:numRef>
              <c:f>Медперсонал!$C$8</c:f>
              <c:numCache>
                <c:formatCode>General</c:formatCode>
                <c:ptCount val="1"/>
                <c:pt idx="0">
                  <c:v>55.1</c:v>
                </c:pt>
              </c:numCache>
            </c:numRef>
          </c:yVal>
          <c:smooth val="0"/>
        </c:ser>
        <c:ser>
          <c:idx val="7"/>
          <c:order val="7"/>
          <c:tx>
            <c:strRef>
              <c:f>Медперсонал!$A$9</c:f>
              <c:strCache>
                <c:ptCount val="1"/>
                <c:pt idx="0">
                  <c:v>Исаклинский</c:v>
                </c:pt>
              </c:strCache>
            </c:strRef>
          </c:tx>
          <c:spPr>
            <a:ln w="31856">
              <a:noFill/>
            </a:ln>
          </c:spPr>
          <c:marker>
            <c:symbol val="circle"/>
            <c:size val="4"/>
            <c:spPr>
              <a:solidFill>
                <a:schemeClr val="accent1">
                  <a:lumMod val="50000"/>
                </a:schemeClr>
              </a:solidFill>
              <a:ln>
                <a:noFill/>
              </a:ln>
            </c:spPr>
          </c:marker>
          <c:dLbls>
            <c:dLbl>
              <c:idx val="0"/>
              <c:layout>
                <c:manualLayout>
                  <c:x val="-6.8624410676805941E-2"/>
                  <c:y val="-2.1253862383303741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Медперсонал!$B$9</c:f>
              <c:numCache>
                <c:formatCode>General</c:formatCode>
                <c:ptCount val="1"/>
                <c:pt idx="0">
                  <c:v>20.7</c:v>
                </c:pt>
              </c:numCache>
            </c:numRef>
          </c:xVal>
          <c:yVal>
            <c:numRef>
              <c:f>Медперсонал!$C$9</c:f>
              <c:numCache>
                <c:formatCode>General</c:formatCode>
                <c:ptCount val="1"/>
                <c:pt idx="0">
                  <c:v>94.8</c:v>
                </c:pt>
              </c:numCache>
            </c:numRef>
          </c:yVal>
          <c:smooth val="0"/>
        </c:ser>
        <c:ser>
          <c:idx val="8"/>
          <c:order val="8"/>
          <c:tx>
            <c:strRef>
              <c:f>Медперсонал!$A$10</c:f>
              <c:strCache>
                <c:ptCount val="1"/>
                <c:pt idx="0">
                  <c:v>Камышлинский</c:v>
                </c:pt>
              </c:strCache>
            </c:strRef>
          </c:tx>
          <c:spPr>
            <a:ln w="31856">
              <a:noFill/>
            </a:ln>
          </c:spPr>
          <c:marker>
            <c:symbol val="circle"/>
            <c:size val="4"/>
            <c:spPr>
              <a:solidFill>
                <a:schemeClr val="accent1">
                  <a:lumMod val="50000"/>
                </a:schemeClr>
              </a:solidFill>
              <a:ln>
                <a:noFill/>
              </a:ln>
            </c:spPr>
          </c:marker>
          <c:dPt>
            <c:idx val="0"/>
            <c:marker>
              <c:spPr>
                <a:solidFill>
                  <a:srgbClr val="C00000"/>
                </a:solidFill>
                <a:ln>
                  <a:noFill/>
                </a:ln>
              </c:spPr>
            </c:marker>
            <c:bubble3D val="0"/>
          </c:dPt>
          <c:dLbls>
            <c:dLbl>
              <c:idx val="0"/>
              <c:layout>
                <c:manualLayout>
                  <c:x val="-8.2699645835336066E-2"/>
                  <c:y val="-5.1447298435763636E-2"/>
                </c:manualLayout>
              </c:layout>
              <c:tx>
                <c:rich>
                  <a:bodyPr/>
                  <a:lstStyle/>
                  <a:p>
                    <a:r>
                      <a:rPr lang="ru-RU" b="1"/>
                      <a:t>К</a:t>
                    </a:r>
                    <a:r>
                      <a:rPr lang="ru-RU"/>
                      <a:t>амышлинский</a:t>
                    </a:r>
                  </a:p>
                </c:rich>
              </c:tx>
              <c:dLblPos val="r"/>
              <c:showLegendKey val="0"/>
              <c:showVal val="0"/>
              <c:showCatName val="0"/>
              <c:showSerName val="1"/>
              <c:showPercent val="0"/>
              <c:showBubbleSize val="0"/>
            </c:dLbl>
            <c:spPr>
              <a:noFill/>
              <a:ln w="16990">
                <a:noFill/>
              </a:ln>
            </c:spPr>
            <c:txPr>
              <a:bodyPr/>
              <a:lstStyle/>
              <a:p>
                <a:pPr>
                  <a:defRPr b="1"/>
                </a:pPr>
                <a:endParaRPr lang="ru-RU"/>
              </a:p>
            </c:txPr>
            <c:dLblPos val="t"/>
            <c:showLegendKey val="0"/>
            <c:showVal val="0"/>
            <c:showCatName val="0"/>
            <c:showSerName val="1"/>
            <c:showPercent val="0"/>
            <c:showBubbleSize val="0"/>
            <c:showLeaderLines val="0"/>
          </c:dLbls>
          <c:xVal>
            <c:numRef>
              <c:f>Медперсонал!$B$10</c:f>
              <c:numCache>
                <c:formatCode>General</c:formatCode>
                <c:ptCount val="1"/>
                <c:pt idx="0">
                  <c:v>20.3</c:v>
                </c:pt>
              </c:numCache>
            </c:numRef>
          </c:xVal>
          <c:yVal>
            <c:numRef>
              <c:f>Медперсонал!$C$10</c:f>
              <c:numCache>
                <c:formatCode>General</c:formatCode>
                <c:ptCount val="1"/>
                <c:pt idx="0">
                  <c:v>73.3</c:v>
                </c:pt>
              </c:numCache>
            </c:numRef>
          </c:yVal>
          <c:smooth val="0"/>
        </c:ser>
        <c:ser>
          <c:idx val="9"/>
          <c:order val="9"/>
          <c:tx>
            <c:strRef>
              <c:f>Медперсонал!$A$11</c:f>
              <c:strCache>
                <c:ptCount val="1"/>
                <c:pt idx="0">
                  <c:v>Кинельский</c:v>
                </c:pt>
              </c:strCache>
            </c:strRef>
          </c:tx>
          <c:spPr>
            <a:ln w="31856">
              <a:noFill/>
            </a:ln>
          </c:spPr>
          <c:marker>
            <c:symbol val="circle"/>
            <c:size val="4"/>
            <c:spPr>
              <a:solidFill>
                <a:schemeClr val="accent1">
                  <a:lumMod val="50000"/>
                </a:schemeClr>
              </a:solidFill>
              <a:ln>
                <a:noFill/>
              </a:ln>
            </c:spPr>
          </c:marker>
          <c:dLbls>
            <c:dLbl>
              <c:idx val="0"/>
              <c:layout>
                <c:manualLayout>
                  <c:x val="-7.4747648454315974E-2"/>
                  <c:y val="2.9127458659597903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Медперсонал!$B$11</c:f>
              <c:numCache>
                <c:formatCode>General</c:formatCode>
                <c:ptCount val="1"/>
                <c:pt idx="0">
                  <c:v>20</c:v>
                </c:pt>
              </c:numCache>
            </c:numRef>
          </c:xVal>
          <c:yVal>
            <c:numRef>
              <c:f>Медперсонал!$C$11</c:f>
              <c:numCache>
                <c:formatCode>General</c:formatCode>
                <c:ptCount val="1"/>
                <c:pt idx="0">
                  <c:v>52.9</c:v>
                </c:pt>
              </c:numCache>
            </c:numRef>
          </c:yVal>
          <c:smooth val="0"/>
        </c:ser>
        <c:ser>
          <c:idx val="10"/>
          <c:order val="10"/>
          <c:tx>
            <c:strRef>
              <c:f>Медперсонал!$A$12</c:f>
              <c:strCache>
                <c:ptCount val="1"/>
                <c:pt idx="0">
                  <c:v>Кинель-Черкасский</c:v>
                </c:pt>
              </c:strCache>
            </c:strRef>
          </c:tx>
          <c:spPr>
            <a:ln w="31856">
              <a:noFill/>
            </a:ln>
          </c:spPr>
          <c:marker>
            <c:symbol val="circle"/>
            <c:size val="4"/>
            <c:spPr>
              <a:solidFill>
                <a:schemeClr val="accent1">
                  <a:lumMod val="50000"/>
                </a:schemeClr>
              </a:solidFill>
              <a:ln>
                <a:noFill/>
              </a:ln>
            </c:spPr>
          </c:marker>
          <c:dLbls>
            <c:dLbl>
              <c:idx val="0"/>
              <c:layout>
                <c:manualLayout>
                  <c:x val="-1.5085423162729341E-3"/>
                  <c:y val="1.4172227233653183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Медперсонал!$B$12</c:f>
              <c:numCache>
                <c:formatCode>General</c:formatCode>
                <c:ptCount val="1"/>
                <c:pt idx="0">
                  <c:v>27.6</c:v>
                </c:pt>
              </c:numCache>
            </c:numRef>
          </c:xVal>
          <c:yVal>
            <c:numRef>
              <c:f>Медперсонал!$C$12</c:f>
              <c:numCache>
                <c:formatCode>General</c:formatCode>
                <c:ptCount val="1"/>
                <c:pt idx="0">
                  <c:v>101.8</c:v>
                </c:pt>
              </c:numCache>
            </c:numRef>
          </c:yVal>
          <c:smooth val="0"/>
        </c:ser>
        <c:ser>
          <c:idx val="11"/>
          <c:order val="11"/>
          <c:tx>
            <c:strRef>
              <c:f>Медперсонал!$A$13</c:f>
              <c:strCache>
                <c:ptCount val="1"/>
                <c:pt idx="0">
                  <c:v>Клявлинский</c:v>
                </c:pt>
              </c:strCache>
            </c:strRef>
          </c:tx>
          <c:spPr>
            <a:ln w="31856">
              <a:noFill/>
            </a:ln>
          </c:spPr>
          <c:marker>
            <c:symbol val="circle"/>
            <c:size val="4"/>
            <c:spPr>
              <a:solidFill>
                <a:schemeClr val="accent1">
                  <a:lumMod val="50000"/>
                </a:schemeClr>
              </a:solidFill>
              <a:ln>
                <a:noFill/>
              </a:ln>
            </c:spPr>
          </c:marker>
          <c:dLbls>
            <c:dLbl>
              <c:idx val="0"/>
              <c:layout>
                <c:manualLayout>
                  <c:x val="-7.8575904788312625E-2"/>
                  <c:y val="-3.0234367615685528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Медперсонал!$B$13</c:f>
              <c:numCache>
                <c:formatCode>General</c:formatCode>
                <c:ptCount val="1"/>
                <c:pt idx="0">
                  <c:v>25.9</c:v>
                </c:pt>
              </c:numCache>
            </c:numRef>
          </c:xVal>
          <c:yVal>
            <c:numRef>
              <c:f>Медперсонал!$C$13</c:f>
              <c:numCache>
                <c:formatCode>General</c:formatCode>
                <c:ptCount val="1"/>
                <c:pt idx="0">
                  <c:v>102.5</c:v>
                </c:pt>
              </c:numCache>
            </c:numRef>
          </c:yVal>
          <c:smooth val="0"/>
        </c:ser>
        <c:ser>
          <c:idx val="12"/>
          <c:order val="12"/>
          <c:tx>
            <c:strRef>
              <c:f>Медперсонал!$A$14</c:f>
              <c:strCache>
                <c:ptCount val="1"/>
                <c:pt idx="0">
                  <c:v>Кошкинский</c:v>
                </c:pt>
              </c:strCache>
            </c:strRef>
          </c:tx>
          <c:spPr>
            <a:ln w="31856">
              <a:noFill/>
            </a:ln>
          </c:spPr>
          <c:marker>
            <c:symbol val="circle"/>
            <c:size val="4"/>
            <c:spPr>
              <a:solidFill>
                <a:schemeClr val="accent1">
                  <a:lumMod val="50000"/>
                </a:schemeClr>
              </a:solidFill>
              <a:ln>
                <a:noFill/>
              </a:ln>
            </c:spPr>
          </c:marker>
          <c:dLbls>
            <c:dLbl>
              <c:idx val="0"/>
              <c:layout>
                <c:manualLayout>
                  <c:x val="8.0703105779887104E-5"/>
                  <c:y val="-1.2273357150921689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Медперсонал!$B$14</c:f>
              <c:numCache>
                <c:formatCode>General</c:formatCode>
                <c:ptCount val="1"/>
                <c:pt idx="0">
                  <c:v>17.899999999999999</c:v>
                </c:pt>
              </c:numCache>
            </c:numRef>
          </c:xVal>
          <c:yVal>
            <c:numRef>
              <c:f>Медперсонал!$C$14</c:f>
              <c:numCache>
                <c:formatCode>General</c:formatCode>
                <c:ptCount val="1"/>
                <c:pt idx="0">
                  <c:v>64.8</c:v>
                </c:pt>
              </c:numCache>
            </c:numRef>
          </c:yVal>
          <c:smooth val="0"/>
        </c:ser>
        <c:ser>
          <c:idx val="13"/>
          <c:order val="13"/>
          <c:tx>
            <c:strRef>
              <c:f>Медперсонал!$A$15</c:f>
              <c:strCache>
                <c:ptCount val="1"/>
                <c:pt idx="0">
                  <c:v>Красноармейский</c:v>
                </c:pt>
              </c:strCache>
            </c:strRef>
          </c:tx>
          <c:spPr>
            <a:ln w="31856">
              <a:noFill/>
            </a:ln>
          </c:spPr>
          <c:marker>
            <c:symbol val="circle"/>
            <c:size val="4"/>
            <c:spPr>
              <a:solidFill>
                <a:schemeClr val="accent1">
                  <a:lumMod val="50000"/>
                </a:schemeClr>
              </a:solidFill>
              <a:ln>
                <a:noFill/>
              </a:ln>
            </c:spPr>
          </c:marker>
          <c:dLbls>
            <c:dLbl>
              <c:idx val="0"/>
              <c:layout>
                <c:manualLayout>
                  <c:x val="1.0485541540311621E-3"/>
                  <c:y val="-1.8260360639176281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Медперсонал!$B$15</c:f>
              <c:numCache>
                <c:formatCode>General</c:formatCode>
                <c:ptCount val="1"/>
                <c:pt idx="0">
                  <c:v>22.6</c:v>
                </c:pt>
              </c:numCache>
            </c:numRef>
          </c:xVal>
          <c:yVal>
            <c:numRef>
              <c:f>Медперсонал!$C$15</c:f>
              <c:numCache>
                <c:formatCode>General</c:formatCode>
                <c:ptCount val="1"/>
                <c:pt idx="0">
                  <c:v>65.8</c:v>
                </c:pt>
              </c:numCache>
            </c:numRef>
          </c:yVal>
          <c:smooth val="0"/>
        </c:ser>
        <c:ser>
          <c:idx val="14"/>
          <c:order val="14"/>
          <c:tx>
            <c:strRef>
              <c:f>Медперсонал!$A$16</c:f>
              <c:strCache>
                <c:ptCount val="1"/>
                <c:pt idx="0">
                  <c:v>Красноярский</c:v>
                </c:pt>
              </c:strCache>
            </c:strRef>
          </c:tx>
          <c:spPr>
            <a:ln w="31856">
              <a:noFill/>
            </a:ln>
          </c:spPr>
          <c:marker>
            <c:symbol val="circle"/>
            <c:size val="4"/>
            <c:spPr>
              <a:solidFill>
                <a:schemeClr val="accent1">
                  <a:lumMod val="75000"/>
                </a:schemeClr>
              </a:solidFill>
              <a:ln>
                <a:noFill/>
              </a:ln>
            </c:spPr>
          </c:marker>
          <c:dLbls>
            <c:spPr>
              <a:noFill/>
              <a:ln w="16990">
                <a:noFill/>
              </a:ln>
            </c:spPr>
            <c:dLblPos val="t"/>
            <c:showLegendKey val="0"/>
            <c:showVal val="0"/>
            <c:showCatName val="0"/>
            <c:showSerName val="1"/>
            <c:showPercent val="0"/>
            <c:showBubbleSize val="0"/>
            <c:showLeaderLines val="0"/>
          </c:dLbls>
          <c:xVal>
            <c:numRef>
              <c:f>Медперсонал!$B$16</c:f>
              <c:numCache>
                <c:formatCode>General</c:formatCode>
                <c:ptCount val="1"/>
                <c:pt idx="0">
                  <c:v>29.6</c:v>
                </c:pt>
              </c:numCache>
            </c:numRef>
          </c:xVal>
          <c:yVal>
            <c:numRef>
              <c:f>Медперсонал!$C$16</c:f>
              <c:numCache>
                <c:formatCode>General</c:formatCode>
                <c:ptCount val="1"/>
                <c:pt idx="0">
                  <c:v>69.599999999999994</c:v>
                </c:pt>
              </c:numCache>
            </c:numRef>
          </c:yVal>
          <c:smooth val="0"/>
        </c:ser>
        <c:ser>
          <c:idx val="15"/>
          <c:order val="15"/>
          <c:tx>
            <c:strRef>
              <c:f>Медперсонал!$A$17</c:f>
              <c:strCache>
                <c:ptCount val="1"/>
                <c:pt idx="0">
                  <c:v>Нефтегорский</c:v>
                </c:pt>
              </c:strCache>
            </c:strRef>
          </c:tx>
          <c:spPr>
            <a:ln w="31856">
              <a:noFill/>
            </a:ln>
          </c:spPr>
          <c:marker>
            <c:symbol val="circle"/>
            <c:size val="4"/>
            <c:spPr>
              <a:solidFill>
                <a:schemeClr val="accent1">
                  <a:lumMod val="50000"/>
                </a:schemeClr>
              </a:solidFill>
              <a:ln>
                <a:noFill/>
              </a:ln>
            </c:spPr>
          </c:marker>
          <c:dLbls>
            <c:dLbl>
              <c:idx val="0"/>
              <c:layout>
                <c:manualLayout>
                  <c:x val="-0.14847925451434332"/>
                  <c:y val="-3.3889503957904292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Медперсонал!$B$17</c:f>
              <c:numCache>
                <c:formatCode>General</c:formatCode>
                <c:ptCount val="1"/>
                <c:pt idx="0">
                  <c:v>19.3</c:v>
                </c:pt>
              </c:numCache>
            </c:numRef>
          </c:xVal>
          <c:yVal>
            <c:numRef>
              <c:f>Медперсонал!$C$17</c:f>
              <c:numCache>
                <c:formatCode>General</c:formatCode>
                <c:ptCount val="1"/>
                <c:pt idx="0">
                  <c:v>74.099999999999994</c:v>
                </c:pt>
              </c:numCache>
            </c:numRef>
          </c:yVal>
          <c:smooth val="0"/>
        </c:ser>
        <c:ser>
          <c:idx val="16"/>
          <c:order val="16"/>
          <c:tx>
            <c:strRef>
              <c:f>Медперсонал!$A$18</c:f>
              <c:strCache>
                <c:ptCount val="1"/>
                <c:pt idx="0">
                  <c:v>Пестравский</c:v>
                </c:pt>
              </c:strCache>
            </c:strRef>
          </c:tx>
          <c:spPr>
            <a:ln w="31856">
              <a:noFill/>
            </a:ln>
          </c:spPr>
          <c:marker>
            <c:symbol val="circle"/>
            <c:size val="4"/>
            <c:spPr>
              <a:solidFill>
                <a:schemeClr val="accent1">
                  <a:lumMod val="50000"/>
                </a:schemeClr>
              </a:solidFill>
              <a:ln>
                <a:noFill/>
              </a:ln>
            </c:spPr>
          </c:marker>
          <c:dLbls>
            <c:dLbl>
              <c:idx val="0"/>
              <c:layout>
                <c:manualLayout>
                  <c:x val="-5.5128232936129534E-3"/>
                  <c:y val="-2.5110058330856428E-3"/>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1"/>
            <c:showCatName val="0"/>
            <c:showSerName val="0"/>
            <c:showPercent val="0"/>
            <c:showBubbleSize val="0"/>
            <c:showLeaderLines val="0"/>
          </c:dLbls>
          <c:xVal>
            <c:numRef>
              <c:f>Медперсонал!$B$18</c:f>
              <c:numCache>
                <c:formatCode>General</c:formatCode>
                <c:ptCount val="1"/>
                <c:pt idx="0">
                  <c:v>25</c:v>
                </c:pt>
              </c:numCache>
            </c:numRef>
          </c:xVal>
          <c:yVal>
            <c:numRef>
              <c:f>Медперсонал!$C$18</c:f>
              <c:numCache>
                <c:formatCode>General</c:formatCode>
                <c:ptCount val="1"/>
                <c:pt idx="0">
                  <c:v>97.8</c:v>
                </c:pt>
              </c:numCache>
            </c:numRef>
          </c:yVal>
          <c:smooth val="0"/>
        </c:ser>
        <c:ser>
          <c:idx val="17"/>
          <c:order val="17"/>
          <c:tx>
            <c:strRef>
              <c:f>Медперсонал!$A$19</c:f>
              <c:strCache>
                <c:ptCount val="1"/>
                <c:pt idx="0">
                  <c:v>Похвистневский</c:v>
                </c:pt>
              </c:strCache>
            </c:strRef>
          </c:tx>
          <c:spPr>
            <a:ln w="31856">
              <a:noFill/>
            </a:ln>
          </c:spPr>
          <c:marker>
            <c:symbol val="circle"/>
            <c:size val="4"/>
            <c:spPr>
              <a:solidFill>
                <a:schemeClr val="accent1">
                  <a:lumMod val="50000"/>
                </a:schemeClr>
              </a:solidFill>
              <a:ln>
                <a:noFill/>
              </a:ln>
            </c:spPr>
          </c:marker>
          <c:dLbls>
            <c:dLbl>
              <c:idx val="0"/>
              <c:layout>
                <c:manualLayout>
                  <c:x val="-0.10552136258107712"/>
                  <c:y val="-3.1889514800509215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Медперсонал!$B$19</c:f>
              <c:numCache>
                <c:formatCode>General</c:formatCode>
                <c:ptCount val="1"/>
                <c:pt idx="0">
                  <c:v>23</c:v>
                </c:pt>
              </c:numCache>
            </c:numRef>
          </c:xVal>
          <c:yVal>
            <c:numRef>
              <c:f>Медперсонал!$C$19</c:f>
              <c:numCache>
                <c:formatCode>General</c:formatCode>
                <c:ptCount val="1"/>
                <c:pt idx="0">
                  <c:v>103.6</c:v>
                </c:pt>
              </c:numCache>
            </c:numRef>
          </c:yVal>
          <c:smooth val="0"/>
        </c:ser>
        <c:ser>
          <c:idx val="18"/>
          <c:order val="18"/>
          <c:tx>
            <c:strRef>
              <c:f>Медперсонал!$A$20</c:f>
              <c:strCache>
                <c:ptCount val="1"/>
                <c:pt idx="0">
                  <c:v>Приволжский</c:v>
                </c:pt>
              </c:strCache>
            </c:strRef>
          </c:tx>
          <c:spPr>
            <a:ln w="31856">
              <a:noFill/>
            </a:ln>
          </c:spPr>
          <c:marker>
            <c:symbol val="circle"/>
            <c:size val="4"/>
            <c:spPr>
              <a:solidFill>
                <a:schemeClr val="accent1">
                  <a:lumMod val="50000"/>
                </a:schemeClr>
              </a:solidFill>
              <a:ln>
                <a:noFill/>
              </a:ln>
            </c:spPr>
          </c:marker>
          <c:dLbls>
            <c:dLbl>
              <c:idx val="0"/>
              <c:layout>
                <c:manualLayout>
                  <c:x val="-0.10127868502007707"/>
                  <c:y val="2.5258790582867802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Медперсонал!$B$20</c:f>
              <c:numCache>
                <c:formatCode>General</c:formatCode>
                <c:ptCount val="1"/>
                <c:pt idx="0">
                  <c:v>17.899999999999999</c:v>
                </c:pt>
              </c:numCache>
            </c:numRef>
          </c:xVal>
          <c:yVal>
            <c:numRef>
              <c:f>Медперсонал!$C$20</c:f>
              <c:numCache>
                <c:formatCode>General</c:formatCode>
                <c:ptCount val="1"/>
                <c:pt idx="0">
                  <c:v>93.9</c:v>
                </c:pt>
              </c:numCache>
            </c:numRef>
          </c:yVal>
          <c:smooth val="0"/>
        </c:ser>
        <c:ser>
          <c:idx val="19"/>
          <c:order val="19"/>
          <c:tx>
            <c:strRef>
              <c:f>Медперсонал!$A$21</c:f>
              <c:strCache>
                <c:ptCount val="1"/>
                <c:pt idx="0">
                  <c:v>Сергиевский</c:v>
                </c:pt>
              </c:strCache>
            </c:strRef>
          </c:tx>
          <c:spPr>
            <a:ln w="31856">
              <a:noFill/>
            </a:ln>
          </c:spPr>
          <c:marker>
            <c:symbol val="circle"/>
            <c:size val="4"/>
            <c:spPr>
              <a:solidFill>
                <a:schemeClr val="accent1">
                  <a:lumMod val="50000"/>
                </a:schemeClr>
              </a:solidFill>
              <a:ln>
                <a:noFill/>
              </a:ln>
            </c:spPr>
          </c:marker>
          <c:dLbls>
            <c:dLbl>
              <c:idx val="0"/>
              <c:layout>
                <c:manualLayout>
                  <c:x val="-6.5992864125867384E-2"/>
                  <c:y val="3.0674907360549567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Медперсонал!$B$21</c:f>
              <c:numCache>
                <c:formatCode>General</c:formatCode>
                <c:ptCount val="1"/>
                <c:pt idx="0">
                  <c:v>30.4</c:v>
                </c:pt>
              </c:numCache>
            </c:numRef>
          </c:xVal>
          <c:yVal>
            <c:numRef>
              <c:f>Медперсонал!$C$21</c:f>
              <c:numCache>
                <c:formatCode>General</c:formatCode>
                <c:ptCount val="1"/>
                <c:pt idx="0">
                  <c:v>110.9</c:v>
                </c:pt>
              </c:numCache>
            </c:numRef>
          </c:yVal>
          <c:smooth val="0"/>
        </c:ser>
        <c:ser>
          <c:idx val="20"/>
          <c:order val="20"/>
          <c:tx>
            <c:strRef>
              <c:f>Медперсонал!$A$22</c:f>
              <c:strCache>
                <c:ptCount val="1"/>
                <c:pt idx="0">
                  <c:v>Ставропольский</c:v>
                </c:pt>
              </c:strCache>
            </c:strRef>
          </c:tx>
          <c:spPr>
            <a:ln w="31856">
              <a:noFill/>
            </a:ln>
          </c:spPr>
          <c:marker>
            <c:symbol val="circle"/>
            <c:size val="4"/>
            <c:spPr>
              <a:solidFill>
                <a:schemeClr val="accent1">
                  <a:lumMod val="50000"/>
                </a:schemeClr>
              </a:solidFill>
              <a:ln>
                <a:noFill/>
              </a:ln>
            </c:spPr>
          </c:marker>
          <c:dLbls>
            <c:dLbl>
              <c:idx val="0"/>
              <c:layout>
                <c:manualLayout>
                  <c:x val="-5.3298660160978539E-3"/>
                  <c:y val="-1.2544256979794017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Медперсонал!$B$22</c:f>
              <c:numCache>
                <c:formatCode>General</c:formatCode>
                <c:ptCount val="1"/>
                <c:pt idx="0">
                  <c:v>15.5</c:v>
                </c:pt>
              </c:numCache>
            </c:numRef>
          </c:xVal>
          <c:yVal>
            <c:numRef>
              <c:f>Медперсонал!$C$22</c:f>
              <c:numCache>
                <c:formatCode>General</c:formatCode>
                <c:ptCount val="1"/>
                <c:pt idx="0">
                  <c:v>42.3</c:v>
                </c:pt>
              </c:numCache>
            </c:numRef>
          </c:yVal>
          <c:smooth val="0"/>
        </c:ser>
        <c:ser>
          <c:idx val="21"/>
          <c:order val="21"/>
          <c:tx>
            <c:strRef>
              <c:f>Медперсонал!$A$23</c:f>
              <c:strCache>
                <c:ptCount val="1"/>
                <c:pt idx="0">
                  <c:v>Сызранский</c:v>
                </c:pt>
              </c:strCache>
            </c:strRef>
          </c:tx>
          <c:spPr>
            <a:ln w="31856">
              <a:noFill/>
            </a:ln>
          </c:spPr>
          <c:marker>
            <c:symbol val="circle"/>
            <c:size val="4"/>
            <c:spPr>
              <a:solidFill>
                <a:schemeClr val="accent1">
                  <a:lumMod val="50000"/>
                </a:schemeClr>
              </a:solidFill>
              <a:ln>
                <a:noFill/>
              </a:ln>
            </c:spPr>
          </c:marker>
          <c:dLbls>
            <c:dLbl>
              <c:idx val="0"/>
              <c:layout>
                <c:manualLayout>
                  <c:x val="1.2414208983526258E-3"/>
                  <c:y val="3.2511314611612229E-3"/>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Медперсонал!$B$23</c:f>
              <c:numCache>
                <c:formatCode>General</c:formatCode>
                <c:ptCount val="1"/>
                <c:pt idx="0">
                  <c:v>17.2</c:v>
                </c:pt>
              </c:numCache>
            </c:numRef>
          </c:xVal>
          <c:yVal>
            <c:numRef>
              <c:f>Медперсонал!$C$23</c:f>
              <c:numCache>
                <c:formatCode>General</c:formatCode>
                <c:ptCount val="1"/>
                <c:pt idx="0">
                  <c:v>60.2</c:v>
                </c:pt>
              </c:numCache>
            </c:numRef>
          </c:yVal>
          <c:smooth val="0"/>
        </c:ser>
        <c:ser>
          <c:idx val="22"/>
          <c:order val="22"/>
          <c:tx>
            <c:strRef>
              <c:f>Медперсонал!$A$24</c:f>
              <c:strCache>
                <c:ptCount val="1"/>
                <c:pt idx="0">
                  <c:v>Хворостянский</c:v>
                </c:pt>
              </c:strCache>
            </c:strRef>
          </c:tx>
          <c:spPr>
            <a:ln w="31856">
              <a:noFill/>
            </a:ln>
          </c:spPr>
          <c:marker>
            <c:symbol val="circle"/>
            <c:size val="4"/>
            <c:spPr>
              <a:solidFill>
                <a:schemeClr val="accent1">
                  <a:lumMod val="50000"/>
                </a:schemeClr>
              </a:solidFill>
              <a:ln>
                <a:noFill/>
              </a:ln>
            </c:spPr>
          </c:marker>
          <c:dLbls>
            <c:dLbl>
              <c:idx val="0"/>
              <c:layout>
                <c:manualLayout>
                  <c:x val="-3.3393894524539692E-3"/>
                  <c:y val="3.6418810586499313E-3"/>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Медперсонал!$B$24</c:f>
              <c:numCache>
                <c:formatCode>General</c:formatCode>
                <c:ptCount val="1"/>
                <c:pt idx="0">
                  <c:v>22.4</c:v>
                </c:pt>
              </c:numCache>
            </c:numRef>
          </c:xVal>
          <c:yVal>
            <c:numRef>
              <c:f>Медперсонал!$C$24</c:f>
              <c:numCache>
                <c:formatCode>General</c:formatCode>
                <c:ptCount val="1"/>
                <c:pt idx="0">
                  <c:v>78.3</c:v>
                </c:pt>
              </c:numCache>
            </c:numRef>
          </c:yVal>
          <c:smooth val="0"/>
        </c:ser>
        <c:ser>
          <c:idx val="23"/>
          <c:order val="23"/>
          <c:tx>
            <c:strRef>
              <c:f>Медперсонал!$A$25</c:f>
              <c:strCache>
                <c:ptCount val="1"/>
                <c:pt idx="0">
                  <c:v>Челно-Вершинский</c:v>
                </c:pt>
              </c:strCache>
            </c:strRef>
          </c:tx>
          <c:spPr>
            <a:ln w="31856">
              <a:noFill/>
            </a:ln>
          </c:spPr>
          <c:marker>
            <c:symbol val="circle"/>
            <c:size val="4"/>
            <c:spPr>
              <a:solidFill>
                <a:schemeClr val="accent1">
                  <a:lumMod val="50000"/>
                </a:schemeClr>
              </a:solidFill>
              <a:ln>
                <a:noFill/>
              </a:ln>
            </c:spPr>
          </c:marker>
          <c:dLbls>
            <c:dLbl>
              <c:idx val="0"/>
              <c:layout>
                <c:manualLayout>
                  <c:x val="-7.5952601415936336E-2"/>
                  <c:y val="3.6014157135537878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1"/>
            <c:showCatName val="0"/>
            <c:showSerName val="0"/>
            <c:showPercent val="0"/>
            <c:showBubbleSize val="0"/>
            <c:showLeaderLines val="0"/>
          </c:dLbls>
          <c:xVal>
            <c:numRef>
              <c:f>Медперсонал!$B$25</c:f>
              <c:numCache>
                <c:formatCode>General</c:formatCode>
                <c:ptCount val="1"/>
                <c:pt idx="0">
                  <c:v>23.2</c:v>
                </c:pt>
              </c:numCache>
            </c:numRef>
          </c:xVal>
          <c:yVal>
            <c:numRef>
              <c:f>Медперсонал!$C$25</c:f>
              <c:numCache>
                <c:formatCode>General</c:formatCode>
                <c:ptCount val="1"/>
                <c:pt idx="0">
                  <c:v>96.9</c:v>
                </c:pt>
              </c:numCache>
            </c:numRef>
          </c:yVal>
          <c:smooth val="0"/>
        </c:ser>
        <c:ser>
          <c:idx val="24"/>
          <c:order val="24"/>
          <c:tx>
            <c:strRef>
              <c:f>Медперсонал!$A$26</c:f>
              <c:strCache>
                <c:ptCount val="1"/>
                <c:pt idx="0">
                  <c:v>Шенталинский</c:v>
                </c:pt>
              </c:strCache>
            </c:strRef>
          </c:tx>
          <c:spPr>
            <a:ln w="31856">
              <a:noFill/>
            </a:ln>
          </c:spPr>
          <c:marker>
            <c:symbol val="circle"/>
            <c:size val="4"/>
            <c:spPr>
              <a:solidFill>
                <a:srgbClr val="C00000"/>
              </a:solidFill>
              <a:ln>
                <a:noFill/>
              </a:ln>
            </c:spPr>
          </c:marker>
          <c:dPt>
            <c:idx val="0"/>
            <c:marker>
              <c:spPr>
                <a:solidFill>
                  <a:schemeClr val="tx2">
                    <a:lumMod val="75000"/>
                  </a:schemeClr>
                </a:solidFill>
                <a:ln>
                  <a:noFill/>
                </a:ln>
              </c:spPr>
            </c:marker>
            <c:bubble3D val="0"/>
          </c:dPt>
          <c:dLbls>
            <c:dLbl>
              <c:idx val="0"/>
              <c:layout>
                <c:manualLayout>
                  <c:x val="-6.849870322415047E-2"/>
                  <c:y val="-1.0128781618968026E-2"/>
                </c:manualLayout>
              </c:layout>
              <c:tx>
                <c:rich>
                  <a:bodyPr/>
                  <a:lstStyle/>
                  <a:p>
                    <a:r>
                      <a:rPr lang="ru-RU" b="0"/>
                      <a:t>Шенталинский</a:t>
                    </a:r>
                  </a:p>
                </c:rich>
              </c:tx>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Медперсонал!$B$26</c:f>
              <c:numCache>
                <c:formatCode>General</c:formatCode>
                <c:ptCount val="1"/>
                <c:pt idx="0">
                  <c:v>19.899999999999999</c:v>
                </c:pt>
              </c:numCache>
            </c:numRef>
          </c:xVal>
          <c:yVal>
            <c:numRef>
              <c:f>Медперсонал!$C$26</c:f>
              <c:numCache>
                <c:formatCode>General</c:formatCode>
                <c:ptCount val="1"/>
                <c:pt idx="0">
                  <c:v>101.9</c:v>
                </c:pt>
              </c:numCache>
            </c:numRef>
          </c:yVal>
          <c:smooth val="0"/>
        </c:ser>
        <c:ser>
          <c:idx val="25"/>
          <c:order val="25"/>
          <c:tx>
            <c:strRef>
              <c:f>Медперсонал!$A$27</c:f>
              <c:strCache>
                <c:ptCount val="1"/>
                <c:pt idx="0">
                  <c:v>Шигонский</c:v>
                </c:pt>
              </c:strCache>
            </c:strRef>
          </c:tx>
          <c:spPr>
            <a:ln w="31856">
              <a:noFill/>
            </a:ln>
          </c:spPr>
          <c:marker>
            <c:symbol val="circle"/>
            <c:size val="4"/>
            <c:spPr>
              <a:solidFill>
                <a:schemeClr val="tx1">
                  <a:lumMod val="65000"/>
                  <a:lumOff val="35000"/>
                </a:schemeClr>
              </a:solidFill>
              <a:ln>
                <a:noFill/>
              </a:ln>
            </c:spPr>
          </c:marker>
          <c:dLbls>
            <c:dLbl>
              <c:idx val="0"/>
              <c:layout>
                <c:manualLayout>
                  <c:x val="-4.5361203066405564E-2"/>
                  <c:y val="-3.3095872432512455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Медперсонал!$B$27</c:f>
              <c:numCache>
                <c:formatCode>General</c:formatCode>
                <c:ptCount val="1"/>
                <c:pt idx="0">
                  <c:v>32.4</c:v>
                </c:pt>
              </c:numCache>
            </c:numRef>
          </c:xVal>
          <c:yVal>
            <c:numRef>
              <c:f>Медперсонал!$C$27</c:f>
              <c:numCache>
                <c:formatCode>General</c:formatCode>
                <c:ptCount val="1"/>
                <c:pt idx="0">
                  <c:v>74.900000000000006</c:v>
                </c:pt>
              </c:numCache>
            </c:numRef>
          </c:yVal>
          <c:smooth val="0"/>
        </c:ser>
        <c:dLbls>
          <c:showLegendKey val="0"/>
          <c:showVal val="1"/>
          <c:showCatName val="0"/>
          <c:showSerName val="0"/>
          <c:showPercent val="0"/>
          <c:showBubbleSize val="0"/>
        </c:dLbls>
        <c:axId val="277184896"/>
        <c:axId val="277186816"/>
      </c:scatterChart>
      <c:valAx>
        <c:axId val="277184896"/>
        <c:scaling>
          <c:orientation val="minMax"/>
          <c:max val="33"/>
          <c:min val="15"/>
        </c:scaling>
        <c:delete val="0"/>
        <c:axPos val="b"/>
        <c:title>
          <c:tx>
            <c:rich>
              <a:bodyPr/>
              <a:lstStyle/>
              <a:p>
                <a:pPr>
                  <a:defRPr b="1"/>
                </a:pPr>
                <a:r>
                  <a:rPr lang="ru-RU" b="1"/>
                  <a:t>Обеспеченность населения врачами на 10 тыс. человек населения</a:t>
                </a:r>
              </a:p>
            </c:rich>
          </c:tx>
          <c:layout>
            <c:manualLayout>
              <c:xMode val="edge"/>
              <c:yMode val="edge"/>
              <c:x val="0.1549290284555567"/>
              <c:y val="0.93747698273082658"/>
            </c:manualLayout>
          </c:layout>
          <c:overlay val="0"/>
        </c:title>
        <c:numFmt formatCode="General" sourceLinked="1"/>
        <c:majorTickMark val="out"/>
        <c:minorTickMark val="none"/>
        <c:tickLblPos val="nextTo"/>
        <c:txPr>
          <a:bodyPr rot="0" vert="horz"/>
          <a:lstStyle/>
          <a:p>
            <a:pPr>
              <a:defRPr/>
            </a:pPr>
            <a:endParaRPr lang="ru-RU"/>
          </a:p>
        </c:txPr>
        <c:crossAx val="277186816"/>
        <c:crosses val="autoZero"/>
        <c:crossBetween val="midCat"/>
      </c:valAx>
      <c:valAx>
        <c:axId val="277186816"/>
        <c:scaling>
          <c:orientation val="minMax"/>
          <c:max val="112"/>
          <c:min val="40"/>
        </c:scaling>
        <c:delete val="0"/>
        <c:axPos val="l"/>
        <c:title>
          <c:tx>
            <c:rich>
              <a:bodyPr/>
              <a:lstStyle/>
              <a:p>
                <a:pPr>
                  <a:defRPr/>
                </a:pPr>
                <a:r>
                  <a:rPr lang="ru-RU"/>
                  <a:t>Обеспеченность  средним медицинским персоналом  на 10 тыс. человек населения</a:t>
                </a:r>
              </a:p>
            </c:rich>
          </c:tx>
          <c:layout>
            <c:manualLayout>
              <c:xMode val="edge"/>
              <c:yMode val="edge"/>
              <c:x val="1.5809384275773401E-3"/>
              <c:y val="9.3367266815419264E-2"/>
            </c:manualLayout>
          </c:layout>
          <c:overlay val="0"/>
        </c:title>
        <c:numFmt formatCode="General" sourceLinked="1"/>
        <c:majorTickMark val="out"/>
        <c:minorTickMark val="none"/>
        <c:tickLblPos val="nextTo"/>
        <c:crossAx val="277184896"/>
        <c:crosses val="autoZero"/>
        <c:crossBetween val="midCat"/>
      </c:valAx>
      <c:spPr>
        <a:noFill/>
        <a:ln>
          <a:solidFill>
            <a:schemeClr val="dk1">
              <a:shade val="95000"/>
              <a:satMod val="105000"/>
            </a:schemeClr>
          </a:solidFill>
        </a:ln>
      </c:spPr>
    </c:plotArea>
    <c:plotVisOnly val="1"/>
    <c:dispBlanksAs val="gap"/>
    <c:showDLblsOverMax val="0"/>
  </c:chart>
  <c:spPr>
    <a:noFill/>
  </c:spPr>
  <c:txPr>
    <a:bodyPr/>
    <a:lstStyle/>
    <a:p>
      <a:pPr>
        <a:defRPr sz="800" baseline="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manualLayout>
          <c:layoutTarget val="inner"/>
          <c:xMode val="edge"/>
          <c:yMode val="edge"/>
          <c:x val="0.24237163216171784"/>
          <c:y val="0.18873798286658164"/>
          <c:w val="0.71567467856112899"/>
          <c:h val="0.739542511971232"/>
        </c:manualLayout>
      </c:layout>
      <c:barChart>
        <c:barDir val="bar"/>
        <c:grouping val="clustered"/>
        <c:varyColors val="0"/>
        <c:ser>
          <c:idx val="0"/>
          <c:order val="0"/>
          <c:spPr>
            <a:solidFill>
              <a:schemeClr val="accent1">
                <a:lumMod val="60000"/>
                <a:lumOff val="40000"/>
              </a:schemeClr>
            </a:solidFill>
          </c:spPr>
          <c:invertIfNegative val="0"/>
          <c:dPt>
            <c:idx val="3"/>
            <c:invertIfNegative val="0"/>
            <c:bubble3D val="0"/>
            <c:spPr>
              <a:solidFill>
                <a:srgbClr val="CC0000"/>
              </a:solidFill>
            </c:spPr>
          </c:dPt>
          <c:dLbls>
            <c:txPr>
              <a:bodyPr/>
              <a:lstStyle/>
              <a:p>
                <a:pPr>
                  <a:defRPr sz="800"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dLbls>
          <c:cat>
            <c:strRef>
              <c:f>'Спорт 2'!$A$2:$A$28</c:f>
              <c:strCache>
                <c:ptCount val="27"/>
                <c:pt idx="0">
                  <c:v>Красноармейский</c:v>
                </c:pt>
                <c:pt idx="1">
                  <c:v>Кинельский</c:v>
                </c:pt>
                <c:pt idx="2">
                  <c:v>Исаклинский</c:v>
                </c:pt>
                <c:pt idx="3">
                  <c:v>Камышлинский</c:v>
                </c:pt>
                <c:pt idx="4">
                  <c:v>Большечерниговский</c:v>
                </c:pt>
                <c:pt idx="5">
                  <c:v>Богатовский</c:v>
                </c:pt>
                <c:pt idx="6">
                  <c:v>Челно-Вершинский</c:v>
                </c:pt>
                <c:pt idx="7">
                  <c:v>Кошкинский</c:v>
                </c:pt>
                <c:pt idx="8">
                  <c:v>Алексеевский</c:v>
                </c:pt>
                <c:pt idx="9">
                  <c:v>Шенталинский</c:v>
                </c:pt>
                <c:pt idx="10">
                  <c:v>Похвистневский</c:v>
                </c:pt>
                <c:pt idx="11">
                  <c:v>Елховский</c:v>
                </c:pt>
                <c:pt idx="12">
                  <c:v>Борский</c:v>
                </c:pt>
                <c:pt idx="13">
                  <c:v>Шигонский</c:v>
                </c:pt>
                <c:pt idx="14">
                  <c:v>Хворостянский</c:v>
                </c:pt>
                <c:pt idx="15">
                  <c:v>Кинель-Черкасский</c:v>
                </c:pt>
                <c:pt idx="16">
                  <c:v>Сергиевский</c:v>
                </c:pt>
                <c:pt idx="17">
                  <c:v>Красноярский</c:v>
                </c:pt>
                <c:pt idx="18">
                  <c:v>Большеглушицкий</c:v>
                </c:pt>
                <c:pt idx="19">
                  <c:v>Пестравский</c:v>
                </c:pt>
                <c:pt idx="20">
                  <c:v>Приволжский</c:v>
                </c:pt>
                <c:pt idx="21">
                  <c:v>Клявлинский</c:v>
                </c:pt>
                <c:pt idx="22">
                  <c:v>Безенчукский</c:v>
                </c:pt>
                <c:pt idx="23">
                  <c:v>Сызранский</c:v>
                </c:pt>
                <c:pt idx="24">
                  <c:v>Нефтегорский</c:v>
                </c:pt>
                <c:pt idx="25">
                  <c:v>Ставропольский</c:v>
                </c:pt>
                <c:pt idx="26">
                  <c:v>Волжский</c:v>
                </c:pt>
              </c:strCache>
            </c:strRef>
          </c:cat>
          <c:val>
            <c:numRef>
              <c:f>'Спорт 2'!$B$2:$B$28</c:f>
              <c:numCache>
                <c:formatCode>0.0</c:formatCode>
                <c:ptCount val="27"/>
                <c:pt idx="0">
                  <c:v>88.4</c:v>
                </c:pt>
                <c:pt idx="1">
                  <c:v>87.5</c:v>
                </c:pt>
                <c:pt idx="2">
                  <c:v>78.279580530273051</c:v>
                </c:pt>
                <c:pt idx="3">
                  <c:v>66.2</c:v>
                </c:pt>
                <c:pt idx="4">
                  <c:v>65.526081663232816</c:v>
                </c:pt>
                <c:pt idx="5">
                  <c:v>62.174667437825228</c:v>
                </c:pt>
                <c:pt idx="6">
                  <c:v>60.233537650241395</c:v>
                </c:pt>
                <c:pt idx="7">
                  <c:v>58.5</c:v>
                </c:pt>
                <c:pt idx="8">
                  <c:v>55.814501795494834</c:v>
                </c:pt>
                <c:pt idx="9">
                  <c:v>55.745183902496009</c:v>
                </c:pt>
                <c:pt idx="10">
                  <c:v>52.874572171813064</c:v>
                </c:pt>
                <c:pt idx="11">
                  <c:v>51.334533693076395</c:v>
                </c:pt>
                <c:pt idx="12">
                  <c:v>50.523694586122915</c:v>
                </c:pt>
                <c:pt idx="13">
                  <c:v>49.856239520202507</c:v>
                </c:pt>
                <c:pt idx="14">
                  <c:v>48.703652444409386</c:v>
                </c:pt>
                <c:pt idx="15">
                  <c:v>41.7</c:v>
                </c:pt>
                <c:pt idx="16">
                  <c:v>39.652981641326726</c:v>
                </c:pt>
                <c:pt idx="17">
                  <c:v>39</c:v>
                </c:pt>
                <c:pt idx="18">
                  <c:v>38.936061721278755</c:v>
                </c:pt>
                <c:pt idx="19">
                  <c:v>36.140268646775162</c:v>
                </c:pt>
                <c:pt idx="20">
                  <c:v>34.287017901715025</c:v>
                </c:pt>
                <c:pt idx="21">
                  <c:v>33.200000000000003</c:v>
                </c:pt>
                <c:pt idx="22">
                  <c:v>30.623149742499027</c:v>
                </c:pt>
                <c:pt idx="23">
                  <c:v>30.030530692202692</c:v>
                </c:pt>
                <c:pt idx="24">
                  <c:v>23.56077459566513</c:v>
                </c:pt>
                <c:pt idx="25">
                  <c:v>21.500224402906319</c:v>
                </c:pt>
                <c:pt idx="26">
                  <c:v>21.200813110762152</c:v>
                </c:pt>
              </c:numCache>
            </c:numRef>
          </c:val>
        </c:ser>
        <c:ser>
          <c:idx val="1"/>
          <c:order val="1"/>
          <c:tx>
            <c:v>1</c:v>
          </c:tx>
          <c:spPr>
            <a:noFill/>
            <a:ln>
              <a:noFill/>
            </a:ln>
          </c:spPr>
          <c:invertIfNegative val="0"/>
          <c:trendline>
            <c:spPr>
              <a:ln>
                <a:prstDash val="sysDash"/>
              </a:ln>
            </c:spPr>
            <c:trendlineType val="linear"/>
            <c:dispRSqr val="0"/>
            <c:dispEq val="0"/>
          </c:trendline>
          <c:val>
            <c:numRef>
              <c:f>'Спорт 2'!$C$2:$C$28</c:f>
              <c:numCache>
                <c:formatCode>General</c:formatCode>
                <c:ptCount val="27"/>
                <c:pt idx="0">
                  <c:v>39.700000000000003</c:v>
                </c:pt>
                <c:pt idx="1">
                  <c:v>39.700000000000003</c:v>
                </c:pt>
                <c:pt idx="2">
                  <c:v>39.700000000000003</c:v>
                </c:pt>
                <c:pt idx="3">
                  <c:v>39.700000000000003</c:v>
                </c:pt>
                <c:pt idx="4">
                  <c:v>39.700000000000003</c:v>
                </c:pt>
                <c:pt idx="5">
                  <c:v>39.700000000000003</c:v>
                </c:pt>
                <c:pt idx="6">
                  <c:v>39.700000000000003</c:v>
                </c:pt>
                <c:pt idx="7">
                  <c:v>39.700000000000003</c:v>
                </c:pt>
                <c:pt idx="8">
                  <c:v>39.700000000000003</c:v>
                </c:pt>
                <c:pt idx="9">
                  <c:v>39.700000000000003</c:v>
                </c:pt>
                <c:pt idx="10">
                  <c:v>39.700000000000003</c:v>
                </c:pt>
                <c:pt idx="11">
                  <c:v>39.700000000000003</c:v>
                </c:pt>
                <c:pt idx="12">
                  <c:v>39.700000000000003</c:v>
                </c:pt>
                <c:pt idx="13">
                  <c:v>39.700000000000003</c:v>
                </c:pt>
                <c:pt idx="14">
                  <c:v>39.700000000000003</c:v>
                </c:pt>
                <c:pt idx="15">
                  <c:v>39.700000000000003</c:v>
                </c:pt>
                <c:pt idx="16">
                  <c:v>39.700000000000003</c:v>
                </c:pt>
                <c:pt idx="17">
                  <c:v>39.700000000000003</c:v>
                </c:pt>
                <c:pt idx="18">
                  <c:v>39.700000000000003</c:v>
                </c:pt>
                <c:pt idx="19">
                  <c:v>39.700000000000003</c:v>
                </c:pt>
                <c:pt idx="20">
                  <c:v>39.700000000000003</c:v>
                </c:pt>
                <c:pt idx="21">
                  <c:v>39.700000000000003</c:v>
                </c:pt>
                <c:pt idx="22">
                  <c:v>39.700000000000003</c:v>
                </c:pt>
                <c:pt idx="23">
                  <c:v>39.700000000000003</c:v>
                </c:pt>
                <c:pt idx="24">
                  <c:v>39.700000000000003</c:v>
                </c:pt>
                <c:pt idx="25">
                  <c:v>39.700000000000003</c:v>
                </c:pt>
                <c:pt idx="26">
                  <c:v>39.700000000000003</c:v>
                </c:pt>
              </c:numCache>
            </c:numRef>
          </c:val>
        </c:ser>
        <c:dLbls>
          <c:showLegendKey val="0"/>
          <c:showVal val="0"/>
          <c:showCatName val="0"/>
          <c:showSerName val="0"/>
          <c:showPercent val="0"/>
          <c:showBubbleSize val="0"/>
        </c:dLbls>
        <c:gapWidth val="150"/>
        <c:axId val="267924992"/>
        <c:axId val="267926528"/>
      </c:barChart>
      <c:catAx>
        <c:axId val="267924992"/>
        <c:scaling>
          <c:orientation val="minMax"/>
        </c:scaling>
        <c:delete val="0"/>
        <c:axPos val="l"/>
        <c:numFmt formatCode="General" sourceLinked="1"/>
        <c:majorTickMark val="out"/>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67926528"/>
        <c:crosses val="autoZero"/>
        <c:auto val="1"/>
        <c:lblAlgn val="ctr"/>
        <c:lblOffset val="100"/>
        <c:noMultiLvlLbl val="0"/>
      </c:catAx>
      <c:valAx>
        <c:axId val="267926528"/>
        <c:scaling>
          <c:orientation val="minMax"/>
        </c:scaling>
        <c:delete val="1"/>
        <c:axPos val="b"/>
        <c:numFmt formatCode="0.0" sourceLinked="1"/>
        <c:majorTickMark val="out"/>
        <c:minorTickMark val="none"/>
        <c:tickLblPos val="none"/>
        <c:crossAx val="267924992"/>
        <c:crosses val="autoZero"/>
        <c:crossBetween val="between"/>
      </c:valAx>
      <c:spPr>
        <a:noFill/>
        <a:ln w="25415">
          <a:noFill/>
        </a:ln>
      </c:spPr>
    </c:plotArea>
    <c:plotVisOnly val="1"/>
    <c:dispBlanksAs val="gap"/>
    <c:showDLblsOverMax val="0"/>
  </c:chart>
  <c:spPr>
    <a:noFill/>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manualLayout>
          <c:layoutTarget val="inner"/>
          <c:xMode val="edge"/>
          <c:yMode val="edge"/>
          <c:x val="0.23472259522371774"/>
          <c:y val="9.4598061187050275E-2"/>
          <c:w val="0.73540639962230359"/>
          <c:h val="0.85054481570190377"/>
        </c:manualLayout>
      </c:layout>
      <c:barChart>
        <c:barDir val="bar"/>
        <c:grouping val="clustered"/>
        <c:varyColors val="0"/>
        <c:ser>
          <c:idx val="0"/>
          <c:order val="0"/>
          <c:spPr>
            <a:solidFill>
              <a:schemeClr val="tx2">
                <a:lumMod val="40000"/>
                <a:lumOff val="60000"/>
              </a:schemeClr>
            </a:solidFill>
          </c:spPr>
          <c:invertIfNegative val="0"/>
          <c:dPt>
            <c:idx val="19"/>
            <c:invertIfNegative val="0"/>
            <c:bubble3D val="0"/>
            <c:spPr>
              <a:solidFill>
                <a:srgbClr val="C00000"/>
              </a:solidFill>
            </c:spPr>
          </c:dPt>
          <c:dPt>
            <c:idx val="25"/>
            <c:invertIfNegative val="0"/>
            <c:bubble3D val="0"/>
            <c:spPr>
              <a:solidFill>
                <a:schemeClr val="accent1">
                  <a:lumMod val="60000"/>
                  <a:lumOff val="40000"/>
                </a:schemeClr>
              </a:solidFill>
            </c:spPr>
          </c:dPt>
          <c:dLbls>
            <c:showLegendKey val="0"/>
            <c:showVal val="1"/>
            <c:showCatName val="0"/>
            <c:showSerName val="0"/>
            <c:showPercent val="0"/>
            <c:showBubbleSize val="0"/>
            <c:showLeaderLines val="0"/>
          </c:dLbls>
          <c:cat>
            <c:strRef>
              <c:f>'Спорт 1'!$A$2:$A$28</c:f>
              <c:strCache>
                <c:ptCount val="27"/>
                <c:pt idx="0">
                  <c:v>Кинель-Черкасский</c:v>
                </c:pt>
                <c:pt idx="1">
                  <c:v>Хворостянский</c:v>
                </c:pt>
                <c:pt idx="2">
                  <c:v>Нефтегорский</c:v>
                </c:pt>
                <c:pt idx="3">
                  <c:v>Челно-Вершинский</c:v>
                </c:pt>
                <c:pt idx="4">
                  <c:v>Ставропольский</c:v>
                </c:pt>
                <c:pt idx="5">
                  <c:v>Сызранский</c:v>
                </c:pt>
                <c:pt idx="6">
                  <c:v>Кинельский</c:v>
                </c:pt>
                <c:pt idx="7">
                  <c:v>Кошкинский</c:v>
                </c:pt>
                <c:pt idx="8">
                  <c:v>Безенчукский</c:v>
                </c:pt>
                <c:pt idx="9">
                  <c:v>Приволжский</c:v>
                </c:pt>
                <c:pt idx="10">
                  <c:v>Пестравский</c:v>
                </c:pt>
                <c:pt idx="11">
                  <c:v>Большечерниговский</c:v>
                </c:pt>
                <c:pt idx="12">
                  <c:v>Похвистневский</c:v>
                </c:pt>
                <c:pt idx="13">
                  <c:v>Большеглушицкий</c:v>
                </c:pt>
                <c:pt idx="14">
                  <c:v>Красноярский</c:v>
                </c:pt>
                <c:pt idx="15">
                  <c:v>Богатовский</c:v>
                </c:pt>
                <c:pt idx="16">
                  <c:v>Шенталинский</c:v>
                </c:pt>
                <c:pt idx="17">
                  <c:v>Сергиевский</c:v>
                </c:pt>
                <c:pt idx="18">
                  <c:v>Борский</c:v>
                </c:pt>
                <c:pt idx="19">
                  <c:v>Камышлинский</c:v>
                </c:pt>
                <c:pt idx="20">
                  <c:v>Клявлинский</c:v>
                </c:pt>
                <c:pt idx="21">
                  <c:v>Волжский</c:v>
                </c:pt>
                <c:pt idx="22">
                  <c:v>Алексеевский</c:v>
                </c:pt>
                <c:pt idx="23">
                  <c:v>Исаклинский</c:v>
                </c:pt>
                <c:pt idx="24">
                  <c:v>Красноармейский</c:v>
                </c:pt>
                <c:pt idx="25">
                  <c:v>Шигонский</c:v>
                </c:pt>
                <c:pt idx="26">
                  <c:v>Елховский</c:v>
                </c:pt>
              </c:strCache>
            </c:strRef>
          </c:cat>
          <c:val>
            <c:numRef>
              <c:f>'Спорт 1'!$B$2:$B$28</c:f>
              <c:numCache>
                <c:formatCode>0.0%</c:formatCode>
                <c:ptCount val="27"/>
                <c:pt idx="0">
                  <c:v>0.39575386829795051</c:v>
                </c:pt>
                <c:pt idx="1">
                  <c:v>0.3900220691500052</c:v>
                </c:pt>
                <c:pt idx="2">
                  <c:v>0.38403053920789054</c:v>
                </c:pt>
                <c:pt idx="3">
                  <c:v>0.37609991484530231</c:v>
                </c:pt>
                <c:pt idx="4">
                  <c:v>0.36072910859195934</c:v>
                </c:pt>
                <c:pt idx="5">
                  <c:v>0.35886700559661638</c:v>
                </c:pt>
                <c:pt idx="6">
                  <c:v>0.35693282801881882</c:v>
                </c:pt>
                <c:pt idx="7">
                  <c:v>0.35456799542246914</c:v>
                </c:pt>
                <c:pt idx="8">
                  <c:v>0.35318876871437077</c:v>
                </c:pt>
                <c:pt idx="9">
                  <c:v>0.35089630133878025</c:v>
                </c:pt>
                <c:pt idx="10">
                  <c:v>0.34903640256959312</c:v>
                </c:pt>
                <c:pt idx="11">
                  <c:v>0.34900379221091932</c:v>
                </c:pt>
                <c:pt idx="12">
                  <c:v>0.34853357095811865</c:v>
                </c:pt>
                <c:pt idx="13">
                  <c:v>0.34768866060845643</c:v>
                </c:pt>
                <c:pt idx="14">
                  <c:v>0.34655616659616201</c:v>
                </c:pt>
                <c:pt idx="15">
                  <c:v>0.34502210702851088</c:v>
                </c:pt>
                <c:pt idx="16">
                  <c:v>0.34137573453162806</c:v>
                </c:pt>
                <c:pt idx="17">
                  <c:v>0.34110074933640344</c:v>
                </c:pt>
                <c:pt idx="18">
                  <c:v>0.33788103921833568</c:v>
                </c:pt>
                <c:pt idx="19">
                  <c:v>0.3368599660644796</c:v>
                </c:pt>
                <c:pt idx="20">
                  <c:v>0.32257596634999086</c:v>
                </c:pt>
                <c:pt idx="21">
                  <c:v>0.31965254379047586</c:v>
                </c:pt>
                <c:pt idx="22">
                  <c:v>0.31616274729376742</c:v>
                </c:pt>
                <c:pt idx="23">
                  <c:v>0.31371049949031632</c:v>
                </c:pt>
                <c:pt idx="24">
                  <c:v>0.29700000000000032</c:v>
                </c:pt>
                <c:pt idx="25">
                  <c:v>0.29415268002165756</c:v>
                </c:pt>
                <c:pt idx="26">
                  <c:v>0.21388325445120629</c:v>
                </c:pt>
              </c:numCache>
            </c:numRef>
          </c:val>
        </c:ser>
        <c:ser>
          <c:idx val="1"/>
          <c:order val="1"/>
          <c:tx>
            <c:v>2</c:v>
          </c:tx>
          <c:spPr>
            <a:noFill/>
            <a:ln>
              <a:noFill/>
            </a:ln>
          </c:spPr>
          <c:invertIfNegative val="0"/>
          <c:trendline>
            <c:spPr>
              <a:ln>
                <a:prstDash val="sysDash"/>
              </a:ln>
            </c:spPr>
            <c:trendlineType val="linear"/>
            <c:dispRSqr val="0"/>
            <c:dispEq val="0"/>
          </c:trendline>
          <c:val>
            <c:numRef>
              <c:f>'Спорт 1'!$C$2:$C$28</c:f>
              <c:numCache>
                <c:formatCode>0.00%</c:formatCode>
                <c:ptCount val="27"/>
                <c:pt idx="0">
                  <c:v>0.34700000000000031</c:v>
                </c:pt>
                <c:pt idx="1">
                  <c:v>0.34700000000000031</c:v>
                </c:pt>
                <c:pt idx="2">
                  <c:v>0.34700000000000031</c:v>
                </c:pt>
                <c:pt idx="3">
                  <c:v>0.34700000000000031</c:v>
                </c:pt>
                <c:pt idx="4">
                  <c:v>0.34700000000000031</c:v>
                </c:pt>
                <c:pt idx="5">
                  <c:v>0.34700000000000031</c:v>
                </c:pt>
                <c:pt idx="6">
                  <c:v>0.34700000000000031</c:v>
                </c:pt>
                <c:pt idx="7">
                  <c:v>0.34700000000000031</c:v>
                </c:pt>
                <c:pt idx="8">
                  <c:v>0.34700000000000031</c:v>
                </c:pt>
                <c:pt idx="9">
                  <c:v>0.34700000000000031</c:v>
                </c:pt>
                <c:pt idx="10">
                  <c:v>0.34700000000000031</c:v>
                </c:pt>
                <c:pt idx="11">
                  <c:v>0.34700000000000031</c:v>
                </c:pt>
                <c:pt idx="12">
                  <c:v>0.34700000000000031</c:v>
                </c:pt>
                <c:pt idx="13">
                  <c:v>0.34700000000000031</c:v>
                </c:pt>
                <c:pt idx="14">
                  <c:v>0.34700000000000031</c:v>
                </c:pt>
                <c:pt idx="15">
                  <c:v>0.34700000000000031</c:v>
                </c:pt>
                <c:pt idx="16">
                  <c:v>0.34700000000000031</c:v>
                </c:pt>
                <c:pt idx="17">
                  <c:v>0.34700000000000031</c:v>
                </c:pt>
                <c:pt idx="18">
                  <c:v>0.34700000000000031</c:v>
                </c:pt>
                <c:pt idx="19">
                  <c:v>0.34700000000000031</c:v>
                </c:pt>
                <c:pt idx="20">
                  <c:v>0.34700000000000031</c:v>
                </c:pt>
                <c:pt idx="21">
                  <c:v>0.34700000000000031</c:v>
                </c:pt>
                <c:pt idx="22">
                  <c:v>0.34700000000000031</c:v>
                </c:pt>
                <c:pt idx="23">
                  <c:v>0.34700000000000031</c:v>
                </c:pt>
                <c:pt idx="24">
                  <c:v>0.34700000000000031</c:v>
                </c:pt>
                <c:pt idx="25">
                  <c:v>0.34700000000000031</c:v>
                </c:pt>
                <c:pt idx="26">
                  <c:v>0.34700000000000031</c:v>
                </c:pt>
              </c:numCache>
            </c:numRef>
          </c:val>
        </c:ser>
        <c:dLbls>
          <c:showLegendKey val="0"/>
          <c:showVal val="0"/>
          <c:showCatName val="0"/>
          <c:showSerName val="0"/>
          <c:showPercent val="0"/>
          <c:showBubbleSize val="0"/>
        </c:dLbls>
        <c:gapWidth val="150"/>
        <c:axId val="277629184"/>
        <c:axId val="277635072"/>
      </c:barChart>
      <c:catAx>
        <c:axId val="277629184"/>
        <c:scaling>
          <c:orientation val="minMax"/>
        </c:scaling>
        <c:delete val="0"/>
        <c:axPos val="l"/>
        <c:numFmt formatCode="General" sourceLinked="1"/>
        <c:majorTickMark val="out"/>
        <c:minorTickMark val="none"/>
        <c:tickLblPos val="nextTo"/>
        <c:crossAx val="277635072"/>
        <c:crosses val="autoZero"/>
        <c:auto val="1"/>
        <c:lblAlgn val="ctr"/>
        <c:lblOffset val="100"/>
        <c:noMultiLvlLbl val="0"/>
      </c:catAx>
      <c:valAx>
        <c:axId val="277635072"/>
        <c:scaling>
          <c:orientation val="minMax"/>
        </c:scaling>
        <c:delete val="1"/>
        <c:axPos val="b"/>
        <c:numFmt formatCode="0.0%" sourceLinked="1"/>
        <c:majorTickMark val="out"/>
        <c:minorTickMark val="none"/>
        <c:tickLblPos val="none"/>
        <c:crossAx val="277629184"/>
        <c:crosses val="autoZero"/>
        <c:crossBetween val="between"/>
      </c:valAx>
      <c:spPr>
        <a:noFill/>
        <a:ln w="25397">
          <a:noFill/>
        </a:ln>
      </c:spPr>
    </c:plotArea>
    <c:plotVisOnly val="1"/>
    <c:dispBlanksAs val="gap"/>
    <c:showDLblsOverMax val="0"/>
  </c:chart>
  <c:spPr>
    <a:noFill/>
  </c:spPr>
  <c:txPr>
    <a:bodyPr/>
    <a:lstStyle/>
    <a:p>
      <a:pPr>
        <a:defRPr sz="800" baseline="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93307086614223"/>
          <c:y val="0.27980751450306834"/>
          <c:w val="0.73761212391436037"/>
          <c:h val="0.50828685327496259"/>
        </c:manualLayout>
      </c:layout>
      <c:lineChart>
        <c:grouping val="standard"/>
        <c:varyColors val="0"/>
        <c:ser>
          <c:idx val="0"/>
          <c:order val="0"/>
          <c:cat>
            <c:numRef>
              <c:f>Экология!$A$21:$A$31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Экология!$B$21:$B$31</c:f>
              <c:numCache>
                <c:formatCode>General</c:formatCode>
                <c:ptCount val="11"/>
                <c:pt idx="0">
                  <c:v>0.1</c:v>
                </c:pt>
                <c:pt idx="1">
                  <c:v>0.1</c:v>
                </c:pt>
                <c:pt idx="2">
                  <c:v>0.1</c:v>
                </c:pt>
                <c:pt idx="3">
                  <c:v>3</c:v>
                </c:pt>
                <c:pt idx="4">
                  <c:v>3.1</c:v>
                </c:pt>
                <c:pt idx="5">
                  <c:v>0.1</c:v>
                </c:pt>
                <c:pt idx="6">
                  <c:v>1.7</c:v>
                </c:pt>
                <c:pt idx="7">
                  <c:v>1.7</c:v>
                </c:pt>
                <c:pt idx="8">
                  <c:v>0.30000000000000032</c:v>
                </c:pt>
                <c:pt idx="9">
                  <c:v>0.30000000000000032</c:v>
                </c:pt>
                <c:pt idx="10">
                  <c:v>2.2000000000000002</c:v>
                </c:pt>
              </c:numCache>
            </c:numRef>
          </c:val>
          <c:smooth val="0"/>
        </c:ser>
        <c:dLbls>
          <c:showLegendKey val="0"/>
          <c:showVal val="0"/>
          <c:showCatName val="0"/>
          <c:showSerName val="0"/>
          <c:showPercent val="0"/>
          <c:showBubbleSize val="0"/>
        </c:dLbls>
        <c:hiLowLines/>
        <c:marker val="1"/>
        <c:smooth val="0"/>
        <c:axId val="267639808"/>
        <c:axId val="271860864"/>
      </c:lineChart>
      <c:catAx>
        <c:axId val="267639808"/>
        <c:scaling>
          <c:orientation val="minMax"/>
        </c:scaling>
        <c:delete val="0"/>
        <c:axPos val="b"/>
        <c:title>
          <c:tx>
            <c:rich>
              <a:bodyPr/>
              <a:lstStyle/>
              <a:p>
                <a:pPr>
                  <a:defRPr sz="800" b="1" i="0" u="none" strike="noStrike" baseline="0">
                    <a:solidFill>
                      <a:srgbClr val="000000"/>
                    </a:solidFill>
                    <a:latin typeface="Calibri"/>
                    <a:ea typeface="Calibri"/>
                    <a:cs typeface="Calibri"/>
                  </a:defRPr>
                </a:pPr>
                <a:r>
                  <a:rPr lang="ru-RU"/>
                  <a:t>Годы</a:t>
                </a:r>
              </a:p>
            </c:rich>
          </c:tx>
          <c:overlay val="0"/>
        </c:title>
        <c:numFmt formatCode="General" sourceLinked="1"/>
        <c:majorTickMark val="none"/>
        <c:minorTickMark val="none"/>
        <c:tickLblPos val="nextTo"/>
        <c:crossAx val="271860864"/>
        <c:crosses val="autoZero"/>
        <c:auto val="1"/>
        <c:lblAlgn val="ctr"/>
        <c:lblOffset val="100"/>
        <c:noMultiLvlLbl val="0"/>
      </c:catAx>
      <c:valAx>
        <c:axId val="271860864"/>
        <c:scaling>
          <c:orientation val="minMax"/>
        </c:scaling>
        <c:delete val="0"/>
        <c:axPos val="l"/>
        <c:title>
          <c:tx>
            <c:rich>
              <a:bodyPr/>
              <a:lstStyle/>
              <a:p>
                <a:pPr>
                  <a:defRPr sz="800" b="1" i="0" u="none" strike="noStrike" baseline="0">
                    <a:solidFill>
                      <a:srgbClr val="000000"/>
                    </a:solidFill>
                    <a:latin typeface="Calibri"/>
                    <a:ea typeface="Calibri"/>
                    <a:cs typeface="Calibri"/>
                  </a:defRPr>
                </a:pPr>
                <a:r>
                  <a:rPr lang="ru-RU"/>
                  <a:t>Выбросы загрязняющих веществ в атмосферу, тыс. тонн
</a:t>
                </a:r>
              </a:p>
            </c:rich>
          </c:tx>
          <c:overlay val="0"/>
        </c:title>
        <c:numFmt formatCode="General" sourceLinked="1"/>
        <c:majorTickMark val="out"/>
        <c:minorTickMark val="none"/>
        <c:tickLblPos val="nextTo"/>
        <c:crossAx val="267639808"/>
        <c:crosses val="autoZero"/>
        <c:crossBetween val="between"/>
      </c:valAx>
    </c:plotArea>
    <c:plotVisOnly val="1"/>
    <c:dispBlanksAs val="gap"/>
    <c:showDLblsOverMax val="0"/>
  </c:chart>
  <c:txPr>
    <a:bodyPr/>
    <a:lstStyle/>
    <a:p>
      <a:pPr>
        <a:defRPr sz="800" baseline="0"/>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manualLayout>
          <c:layoutTarget val="inner"/>
          <c:xMode val="edge"/>
          <c:yMode val="edge"/>
          <c:x val="8.3882677480517309E-2"/>
          <c:y val="5.1080106214793315E-2"/>
          <c:w val="0.82604237979597051"/>
          <c:h val="0.77754938527420914"/>
        </c:manualLayout>
      </c:layout>
      <c:scatterChart>
        <c:scatterStyle val="lineMarker"/>
        <c:varyColors val="0"/>
        <c:ser>
          <c:idx val="0"/>
          <c:order val="0"/>
          <c:tx>
            <c:strRef>
              <c:f>культура!$A$3</c:f>
              <c:strCache>
                <c:ptCount val="1"/>
                <c:pt idx="0">
                  <c:v>Алексеевский </c:v>
                </c:pt>
              </c:strCache>
            </c:strRef>
          </c:tx>
          <c:spPr>
            <a:ln w="35719">
              <a:noFill/>
            </a:ln>
          </c:spPr>
          <c:marker>
            <c:symbol val="circle"/>
            <c:size val="4"/>
            <c:spPr>
              <a:solidFill>
                <a:schemeClr val="accent1">
                  <a:lumMod val="50000"/>
                </a:schemeClr>
              </a:solidFill>
              <a:ln>
                <a:noFill/>
              </a:ln>
            </c:spPr>
          </c:marker>
          <c:dLbls>
            <c:dLbl>
              <c:idx val="0"/>
              <c:layout>
                <c:manualLayout>
                  <c:x val="-5.7475283157653913E-2"/>
                  <c:y val="-4.9265905383360495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культура!$B$3</c:f>
              <c:numCache>
                <c:formatCode>General</c:formatCode>
                <c:ptCount val="1"/>
                <c:pt idx="0">
                  <c:v>19</c:v>
                </c:pt>
              </c:numCache>
            </c:numRef>
          </c:xVal>
          <c:yVal>
            <c:numRef>
              <c:f>культура!$C$3</c:f>
              <c:numCache>
                <c:formatCode>General</c:formatCode>
                <c:ptCount val="1"/>
                <c:pt idx="0">
                  <c:v>0</c:v>
                </c:pt>
              </c:numCache>
            </c:numRef>
          </c:yVal>
          <c:smooth val="0"/>
        </c:ser>
        <c:ser>
          <c:idx val="1"/>
          <c:order val="1"/>
          <c:tx>
            <c:strRef>
              <c:f>культура!$A$4</c:f>
              <c:strCache>
                <c:ptCount val="1"/>
                <c:pt idx="0">
                  <c:v>Безенчукский </c:v>
                </c:pt>
              </c:strCache>
            </c:strRef>
          </c:tx>
          <c:spPr>
            <a:ln w="35719">
              <a:noFill/>
            </a:ln>
          </c:spPr>
          <c:marker>
            <c:symbol val="circle"/>
            <c:size val="4"/>
            <c:spPr>
              <a:solidFill>
                <a:srgbClr val="4F81BD">
                  <a:lumMod val="50000"/>
                </a:srgbClr>
              </a:solidFill>
              <a:ln>
                <a:noFill/>
              </a:ln>
            </c:spPr>
          </c:marker>
          <c:dLbls>
            <c:dLbl>
              <c:idx val="0"/>
              <c:layout>
                <c:manualLayout>
                  <c:x val="-3.4619687539189606E-2"/>
                  <c:y val="-3.7088355003263108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культура!$B$4</c:f>
              <c:numCache>
                <c:formatCode>General</c:formatCode>
                <c:ptCount val="1"/>
                <c:pt idx="0">
                  <c:v>29</c:v>
                </c:pt>
              </c:numCache>
            </c:numRef>
          </c:xVal>
          <c:yVal>
            <c:numRef>
              <c:f>культура!$C$4</c:f>
              <c:numCache>
                <c:formatCode>General</c:formatCode>
                <c:ptCount val="1"/>
                <c:pt idx="0">
                  <c:v>0</c:v>
                </c:pt>
              </c:numCache>
            </c:numRef>
          </c:yVal>
          <c:smooth val="0"/>
        </c:ser>
        <c:ser>
          <c:idx val="2"/>
          <c:order val="2"/>
          <c:tx>
            <c:strRef>
              <c:f>культура!$A$5</c:f>
              <c:strCache>
                <c:ptCount val="1"/>
                <c:pt idx="0">
                  <c:v>Богатовский </c:v>
                </c:pt>
              </c:strCache>
            </c:strRef>
          </c:tx>
          <c:spPr>
            <a:ln w="35719">
              <a:noFill/>
            </a:ln>
          </c:spPr>
          <c:marker>
            <c:symbol val="circle"/>
            <c:size val="4"/>
            <c:spPr>
              <a:solidFill>
                <a:srgbClr val="4F81BD">
                  <a:lumMod val="50000"/>
                </a:srgbClr>
              </a:solidFill>
              <a:ln>
                <a:noFill/>
              </a:ln>
            </c:spPr>
          </c:marker>
          <c:dLbls>
            <c:dLbl>
              <c:idx val="0"/>
              <c:layout>
                <c:manualLayout>
                  <c:x val="-5.2220767846230965E-3"/>
                  <c:y val="-3.5889070146818986E-3"/>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культура!$B$5</c:f>
              <c:numCache>
                <c:formatCode>General</c:formatCode>
                <c:ptCount val="1"/>
                <c:pt idx="0">
                  <c:v>16</c:v>
                </c:pt>
              </c:numCache>
            </c:numRef>
          </c:xVal>
          <c:yVal>
            <c:numRef>
              <c:f>культура!$C$5</c:f>
              <c:numCache>
                <c:formatCode>General</c:formatCode>
                <c:ptCount val="1"/>
                <c:pt idx="0">
                  <c:v>16</c:v>
                </c:pt>
              </c:numCache>
            </c:numRef>
          </c:yVal>
          <c:smooth val="0"/>
        </c:ser>
        <c:ser>
          <c:idx val="3"/>
          <c:order val="3"/>
          <c:tx>
            <c:strRef>
              <c:f>культура!$A$6</c:f>
              <c:strCache>
                <c:ptCount val="1"/>
                <c:pt idx="0">
                  <c:v>Большеглушицкий </c:v>
                </c:pt>
              </c:strCache>
            </c:strRef>
          </c:tx>
          <c:spPr>
            <a:ln w="35719">
              <a:noFill/>
            </a:ln>
          </c:spPr>
          <c:marker>
            <c:symbol val="circle"/>
            <c:size val="4"/>
            <c:spPr>
              <a:solidFill>
                <a:srgbClr val="4F81BD">
                  <a:lumMod val="50000"/>
                </a:srgbClr>
              </a:solidFill>
              <a:ln>
                <a:noFill/>
              </a:ln>
            </c:spPr>
          </c:marker>
          <c:dLbls>
            <c:dLbl>
              <c:idx val="0"/>
              <c:layout>
                <c:manualLayout>
                  <c:x val="-5.8321490348661645E-2"/>
                  <c:y val="-8.1892332789559819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культура!$B$6</c:f>
              <c:numCache>
                <c:formatCode>General</c:formatCode>
                <c:ptCount val="1"/>
                <c:pt idx="0">
                  <c:v>17</c:v>
                </c:pt>
              </c:numCache>
            </c:numRef>
          </c:xVal>
          <c:yVal>
            <c:numRef>
              <c:f>культура!$C$6</c:f>
              <c:numCache>
                <c:formatCode>General</c:formatCode>
                <c:ptCount val="1"/>
                <c:pt idx="0">
                  <c:v>0</c:v>
                </c:pt>
              </c:numCache>
            </c:numRef>
          </c:yVal>
          <c:smooth val="0"/>
        </c:ser>
        <c:ser>
          <c:idx val="4"/>
          <c:order val="4"/>
          <c:tx>
            <c:strRef>
              <c:f>культура!$A$7</c:f>
              <c:strCache>
                <c:ptCount val="1"/>
                <c:pt idx="0">
                  <c:v>Большечерниговский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культура!$B$7</c:f>
              <c:numCache>
                <c:formatCode>General</c:formatCode>
                <c:ptCount val="1"/>
                <c:pt idx="0">
                  <c:v>29</c:v>
                </c:pt>
              </c:numCache>
            </c:numRef>
          </c:xVal>
          <c:yVal>
            <c:numRef>
              <c:f>культура!$C$7</c:f>
              <c:numCache>
                <c:formatCode>General</c:formatCode>
                <c:ptCount val="1"/>
                <c:pt idx="0">
                  <c:v>14</c:v>
                </c:pt>
              </c:numCache>
            </c:numRef>
          </c:yVal>
          <c:smooth val="0"/>
        </c:ser>
        <c:ser>
          <c:idx val="5"/>
          <c:order val="5"/>
          <c:tx>
            <c:strRef>
              <c:f>культура!$A$8</c:f>
              <c:strCache>
                <c:ptCount val="1"/>
                <c:pt idx="0">
                  <c:v>Борский </c:v>
                </c:pt>
              </c:strCache>
            </c:strRef>
          </c:tx>
          <c:spPr>
            <a:ln w="35719">
              <a:noFill/>
            </a:ln>
          </c:spPr>
          <c:marker>
            <c:symbol val="circle"/>
            <c:size val="4"/>
            <c:spPr>
              <a:solidFill>
                <a:srgbClr val="4F81BD">
                  <a:lumMod val="50000"/>
                </a:srgbClr>
              </a:solidFill>
              <a:ln>
                <a:noFill/>
              </a:ln>
            </c:spPr>
          </c:marker>
          <c:dLbls>
            <c:dLbl>
              <c:idx val="0"/>
              <c:layout>
                <c:manualLayout>
                  <c:x val="-5.3899135055024722E-2"/>
                  <c:y val="2.9037520391517132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trendline>
            <c:trendlineType val="linear"/>
            <c:dispRSqr val="0"/>
            <c:dispEq val="0"/>
          </c:trendline>
          <c:xVal>
            <c:numRef>
              <c:f>культура!$B$8</c:f>
              <c:numCache>
                <c:formatCode>General</c:formatCode>
                <c:ptCount val="1"/>
                <c:pt idx="0">
                  <c:v>26</c:v>
                </c:pt>
              </c:numCache>
            </c:numRef>
          </c:xVal>
          <c:yVal>
            <c:numRef>
              <c:f>культура!$C$8</c:f>
              <c:numCache>
                <c:formatCode>General</c:formatCode>
                <c:ptCount val="1"/>
                <c:pt idx="0">
                  <c:v>22</c:v>
                </c:pt>
              </c:numCache>
            </c:numRef>
          </c:yVal>
          <c:smooth val="0"/>
        </c:ser>
        <c:ser>
          <c:idx val="6"/>
          <c:order val="6"/>
          <c:tx>
            <c:strRef>
              <c:f>культура!$A$9</c:f>
              <c:strCache>
                <c:ptCount val="1"/>
                <c:pt idx="0">
                  <c:v>Волжский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культура!$B$9</c:f>
              <c:numCache>
                <c:formatCode>General</c:formatCode>
                <c:ptCount val="1"/>
                <c:pt idx="0">
                  <c:v>23</c:v>
                </c:pt>
              </c:numCache>
            </c:numRef>
          </c:xVal>
          <c:yVal>
            <c:numRef>
              <c:f>культура!$C$9</c:f>
              <c:numCache>
                <c:formatCode>General</c:formatCode>
                <c:ptCount val="1"/>
                <c:pt idx="0">
                  <c:v>2</c:v>
                </c:pt>
              </c:numCache>
            </c:numRef>
          </c:yVal>
          <c:smooth val="0"/>
        </c:ser>
        <c:ser>
          <c:idx val="7"/>
          <c:order val="7"/>
          <c:tx>
            <c:strRef>
              <c:f>культура!$A$10</c:f>
              <c:strCache>
                <c:ptCount val="1"/>
                <c:pt idx="0">
                  <c:v>Елховский </c:v>
                </c:pt>
              </c:strCache>
            </c:strRef>
          </c:tx>
          <c:spPr>
            <a:ln w="35719">
              <a:noFill/>
            </a:ln>
          </c:spPr>
          <c:marker>
            <c:symbol val="circle"/>
            <c:size val="4"/>
            <c:spPr>
              <a:solidFill>
                <a:srgbClr val="4F81BD">
                  <a:lumMod val="50000"/>
                </a:srgbClr>
              </a:solidFill>
              <a:ln>
                <a:noFill/>
              </a:ln>
            </c:spPr>
          </c:marker>
          <c:dLbls>
            <c:dLbl>
              <c:idx val="0"/>
              <c:tx>
                <c:rich>
                  <a:bodyPr/>
                  <a:lstStyle/>
                  <a:p>
                    <a:pPr>
                      <a:defRPr/>
                    </a:pPr>
                    <a:r>
                      <a:rPr lang="ru-RU"/>
                      <a:t>Елховский</a:t>
                    </a:r>
                    <a:endParaRPr lang="en-US"/>
                  </a:p>
                </c:rich>
              </c:tx>
              <c:spPr/>
              <c:dLblPos val="t"/>
              <c:showLegendKey val="0"/>
              <c:showVal val="0"/>
              <c:showCatName val="0"/>
              <c:showSerName val="0"/>
              <c:showPercent val="0"/>
              <c:showBubbleSize val="0"/>
            </c:dLbl>
            <c:dLblPos val="t"/>
            <c:showLegendKey val="0"/>
            <c:showVal val="1"/>
            <c:showCatName val="0"/>
            <c:showSerName val="0"/>
            <c:showPercent val="0"/>
            <c:showBubbleSize val="0"/>
            <c:showLeaderLines val="0"/>
          </c:dLbls>
          <c:xVal>
            <c:numRef>
              <c:f>культура!$B$10</c:f>
              <c:numCache>
                <c:formatCode>General</c:formatCode>
                <c:ptCount val="1"/>
                <c:pt idx="0">
                  <c:v>13</c:v>
                </c:pt>
              </c:numCache>
            </c:numRef>
          </c:xVal>
          <c:yVal>
            <c:numRef>
              <c:f>культура!$C$10</c:f>
              <c:numCache>
                <c:formatCode>General</c:formatCode>
                <c:ptCount val="1"/>
                <c:pt idx="0">
                  <c:v>10</c:v>
                </c:pt>
              </c:numCache>
            </c:numRef>
          </c:yVal>
          <c:smooth val="0"/>
        </c:ser>
        <c:ser>
          <c:idx val="8"/>
          <c:order val="8"/>
          <c:tx>
            <c:strRef>
              <c:f>культура!$A$11</c:f>
              <c:strCache>
                <c:ptCount val="1"/>
                <c:pt idx="0">
                  <c:v>Исаклинский </c:v>
                </c:pt>
              </c:strCache>
            </c:strRef>
          </c:tx>
          <c:spPr>
            <a:ln w="35719">
              <a:noFill/>
            </a:ln>
          </c:spPr>
          <c:marker>
            <c:symbol val="circle"/>
            <c:size val="4"/>
            <c:spPr>
              <a:solidFill>
                <a:srgbClr val="4F81BD">
                  <a:lumMod val="50000"/>
                </a:srgbClr>
              </a:solidFill>
              <a:ln>
                <a:noFill/>
              </a:ln>
            </c:spPr>
          </c:marker>
          <c:dLbls>
            <c:dLbl>
              <c:idx val="0"/>
              <c:layout>
                <c:manualLayout>
                  <c:x val="-9.4490683598777627E-3"/>
                  <c:y val="3.230023053664461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культура!$B$11</c:f>
              <c:numCache>
                <c:formatCode>General</c:formatCode>
                <c:ptCount val="1"/>
                <c:pt idx="0">
                  <c:v>29</c:v>
                </c:pt>
              </c:numCache>
            </c:numRef>
          </c:xVal>
          <c:yVal>
            <c:numRef>
              <c:f>культура!$C$11</c:f>
              <c:numCache>
                <c:formatCode>General</c:formatCode>
                <c:ptCount val="1"/>
                <c:pt idx="0">
                  <c:v>25</c:v>
                </c:pt>
              </c:numCache>
            </c:numRef>
          </c:yVal>
          <c:smooth val="0"/>
        </c:ser>
        <c:ser>
          <c:idx val="9"/>
          <c:order val="9"/>
          <c:tx>
            <c:strRef>
              <c:f>культура!$A$12</c:f>
              <c:strCache>
                <c:ptCount val="1"/>
                <c:pt idx="0">
                  <c:v>Камышлинский </c:v>
                </c:pt>
              </c:strCache>
            </c:strRef>
          </c:tx>
          <c:spPr>
            <a:ln w="35719">
              <a:noFill/>
            </a:ln>
          </c:spPr>
          <c:marker>
            <c:symbol val="circle"/>
            <c:size val="4"/>
            <c:spPr>
              <a:solidFill>
                <a:srgbClr val="4F81BD">
                  <a:lumMod val="50000"/>
                </a:srgbClr>
              </a:solidFill>
              <a:ln>
                <a:noFill/>
              </a:ln>
            </c:spPr>
          </c:marker>
          <c:dPt>
            <c:idx val="0"/>
            <c:marker>
              <c:spPr>
                <a:solidFill>
                  <a:srgbClr val="FF0000"/>
                </a:solidFill>
                <a:ln>
                  <a:noFill/>
                </a:ln>
              </c:spPr>
            </c:marker>
            <c:bubble3D val="0"/>
          </c:dPt>
          <c:dLbls>
            <c:dLblPos val="t"/>
            <c:showLegendKey val="0"/>
            <c:showVal val="0"/>
            <c:showCatName val="0"/>
            <c:showSerName val="1"/>
            <c:showPercent val="0"/>
            <c:showBubbleSize val="0"/>
            <c:showLeaderLines val="0"/>
          </c:dLbls>
          <c:xVal>
            <c:numRef>
              <c:f>культура!$B$12</c:f>
              <c:numCache>
                <c:formatCode>General</c:formatCode>
                <c:ptCount val="1"/>
                <c:pt idx="0">
                  <c:v>14</c:v>
                </c:pt>
              </c:numCache>
            </c:numRef>
          </c:xVal>
          <c:yVal>
            <c:numRef>
              <c:f>культура!$C$12</c:f>
              <c:numCache>
                <c:formatCode>General</c:formatCode>
                <c:ptCount val="1"/>
                <c:pt idx="0">
                  <c:v>0</c:v>
                </c:pt>
              </c:numCache>
            </c:numRef>
          </c:yVal>
          <c:smooth val="0"/>
        </c:ser>
        <c:ser>
          <c:idx val="10"/>
          <c:order val="10"/>
          <c:tx>
            <c:strRef>
              <c:f>культура!$A$13</c:f>
              <c:strCache>
                <c:ptCount val="1"/>
                <c:pt idx="0">
                  <c:v>Кинельский </c:v>
                </c:pt>
              </c:strCache>
            </c:strRef>
          </c:tx>
          <c:spPr>
            <a:ln w="35719">
              <a:noFill/>
            </a:ln>
          </c:spPr>
          <c:marker>
            <c:symbol val="circle"/>
            <c:size val="4"/>
            <c:spPr>
              <a:solidFill>
                <a:srgbClr val="4F81BD">
                  <a:lumMod val="50000"/>
                </a:srgbClr>
              </a:solidFill>
              <a:ln>
                <a:noFill/>
              </a:ln>
            </c:spPr>
          </c:marker>
          <c:dLbls>
            <c:dLbl>
              <c:idx val="0"/>
              <c:layout>
                <c:manualLayout>
                  <c:x val="-2.5601712754215116E-2"/>
                  <c:y val="-7.5367047308319821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культура!$B$13</c:f>
              <c:numCache>
                <c:formatCode>General</c:formatCode>
                <c:ptCount val="1"/>
                <c:pt idx="0">
                  <c:v>25</c:v>
                </c:pt>
              </c:numCache>
            </c:numRef>
          </c:xVal>
          <c:yVal>
            <c:numRef>
              <c:f>культура!$C$13</c:f>
              <c:numCache>
                <c:formatCode>General</c:formatCode>
                <c:ptCount val="1"/>
                <c:pt idx="0">
                  <c:v>0</c:v>
                </c:pt>
              </c:numCache>
            </c:numRef>
          </c:yVal>
          <c:smooth val="0"/>
        </c:ser>
        <c:ser>
          <c:idx val="11"/>
          <c:order val="11"/>
          <c:tx>
            <c:strRef>
              <c:f>культура!$A$14</c:f>
              <c:strCache>
                <c:ptCount val="1"/>
                <c:pt idx="0">
                  <c:v>Кинель-Черкасский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культура!$B$14</c:f>
              <c:numCache>
                <c:formatCode>General</c:formatCode>
                <c:ptCount val="1"/>
                <c:pt idx="0">
                  <c:v>28</c:v>
                </c:pt>
              </c:numCache>
            </c:numRef>
          </c:xVal>
          <c:yVal>
            <c:numRef>
              <c:f>культура!$C$14</c:f>
              <c:numCache>
                <c:formatCode>General</c:formatCode>
                <c:ptCount val="1"/>
                <c:pt idx="0">
                  <c:v>4</c:v>
                </c:pt>
              </c:numCache>
            </c:numRef>
          </c:yVal>
          <c:smooth val="0"/>
        </c:ser>
        <c:ser>
          <c:idx val="12"/>
          <c:order val="12"/>
          <c:tx>
            <c:strRef>
              <c:f>культура!$A$16</c:f>
              <c:strCache>
                <c:ptCount val="1"/>
                <c:pt idx="0">
                  <c:v>Кошкинский </c:v>
                </c:pt>
              </c:strCache>
            </c:strRef>
          </c:tx>
          <c:spPr>
            <a:ln w="35719">
              <a:noFill/>
            </a:ln>
          </c:spPr>
          <c:marker>
            <c:symbol val="circle"/>
            <c:size val="4"/>
            <c:spPr>
              <a:solidFill>
                <a:schemeClr val="accent1">
                  <a:lumMod val="50000"/>
                </a:schemeClr>
              </a:solidFill>
              <a:ln>
                <a:noFill/>
              </a:ln>
            </c:spPr>
          </c:marker>
          <c:dLbls>
            <c:dLbl>
              <c:idx val="0"/>
              <c:layout>
                <c:manualLayout>
                  <c:x val="-5.546602327332819E-2"/>
                  <c:y val="-4.6003262642740697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культура!$B$16</c:f>
              <c:numCache>
                <c:formatCode>General</c:formatCode>
                <c:ptCount val="1"/>
                <c:pt idx="0">
                  <c:v>37</c:v>
                </c:pt>
              </c:numCache>
            </c:numRef>
          </c:xVal>
          <c:yVal>
            <c:numRef>
              <c:f>культура!$C$16</c:f>
              <c:numCache>
                <c:formatCode>General</c:formatCode>
                <c:ptCount val="1"/>
                <c:pt idx="0">
                  <c:v>0</c:v>
                </c:pt>
              </c:numCache>
            </c:numRef>
          </c:yVal>
          <c:smooth val="0"/>
        </c:ser>
        <c:ser>
          <c:idx val="13"/>
          <c:order val="13"/>
          <c:tx>
            <c:strRef>
              <c:f>культура!$A$17</c:f>
              <c:strCache>
                <c:ptCount val="1"/>
                <c:pt idx="0">
                  <c:v>Красноармейский </c:v>
                </c:pt>
              </c:strCache>
            </c:strRef>
          </c:tx>
          <c:spPr>
            <a:ln w="35719">
              <a:noFill/>
            </a:ln>
          </c:spPr>
          <c:marker>
            <c:symbol val="circle"/>
            <c:size val="4"/>
            <c:spPr>
              <a:solidFill>
                <a:srgbClr val="4F81BD">
                  <a:lumMod val="50000"/>
                </a:srgbClr>
              </a:solidFill>
              <a:ln>
                <a:noFill/>
              </a:ln>
            </c:spPr>
          </c:marker>
          <c:dLbls>
            <c:dLbl>
              <c:idx val="0"/>
              <c:layout>
                <c:manualLayout>
                  <c:x val="-0.11708291725808539"/>
                  <c:y val="-2.6427406199021206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культура!$B$17</c:f>
              <c:numCache>
                <c:formatCode>General</c:formatCode>
                <c:ptCount val="1"/>
                <c:pt idx="0">
                  <c:v>23</c:v>
                </c:pt>
              </c:numCache>
            </c:numRef>
          </c:xVal>
          <c:yVal>
            <c:numRef>
              <c:f>культура!$C$17</c:f>
              <c:numCache>
                <c:formatCode>General</c:formatCode>
                <c:ptCount val="1"/>
                <c:pt idx="0">
                  <c:v>0</c:v>
                </c:pt>
              </c:numCache>
            </c:numRef>
          </c:yVal>
          <c:smooth val="0"/>
        </c:ser>
        <c:ser>
          <c:idx val="14"/>
          <c:order val="14"/>
          <c:tx>
            <c:strRef>
              <c:f>культура!$A$18</c:f>
              <c:strCache>
                <c:ptCount val="1"/>
                <c:pt idx="0">
                  <c:v>Красноярский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культура!$B$18</c:f>
              <c:numCache>
                <c:formatCode>General</c:formatCode>
                <c:ptCount val="1"/>
                <c:pt idx="0">
                  <c:v>24</c:v>
                </c:pt>
              </c:numCache>
            </c:numRef>
          </c:xVal>
          <c:yVal>
            <c:numRef>
              <c:f>культура!$C$18</c:f>
              <c:numCache>
                <c:formatCode>General</c:formatCode>
                <c:ptCount val="1"/>
                <c:pt idx="0">
                  <c:v>26</c:v>
                </c:pt>
              </c:numCache>
            </c:numRef>
          </c:yVal>
          <c:smooth val="0"/>
        </c:ser>
        <c:ser>
          <c:idx val="15"/>
          <c:order val="15"/>
          <c:tx>
            <c:strRef>
              <c:f>культура!$A$19</c:f>
              <c:strCache>
                <c:ptCount val="1"/>
                <c:pt idx="0">
                  <c:v>Нефтегорский </c:v>
                </c:pt>
              </c:strCache>
            </c:strRef>
          </c:tx>
          <c:spPr>
            <a:ln w="35719">
              <a:noFill/>
            </a:ln>
          </c:spPr>
          <c:marker>
            <c:symbol val="circle"/>
            <c:size val="4"/>
            <c:spPr>
              <a:solidFill>
                <a:schemeClr val="accent1">
                  <a:lumMod val="50000"/>
                </a:schemeClr>
              </a:solidFill>
            </c:spPr>
          </c:marker>
          <c:dLbls>
            <c:dLbl>
              <c:idx val="0"/>
              <c:layout>
                <c:manualLayout>
                  <c:x val="-0.10850595959629122"/>
                  <c:y val="7.9327369184686733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культура!$B$19</c:f>
              <c:numCache>
                <c:formatCode>General</c:formatCode>
                <c:ptCount val="1"/>
                <c:pt idx="0">
                  <c:v>16</c:v>
                </c:pt>
              </c:numCache>
            </c:numRef>
          </c:xVal>
          <c:yVal>
            <c:numRef>
              <c:f>культура!$C$19</c:f>
              <c:numCache>
                <c:formatCode>General</c:formatCode>
                <c:ptCount val="1"/>
                <c:pt idx="0">
                  <c:v>0</c:v>
                </c:pt>
              </c:numCache>
            </c:numRef>
          </c:yVal>
          <c:smooth val="0"/>
        </c:ser>
        <c:ser>
          <c:idx val="16"/>
          <c:order val="16"/>
          <c:tx>
            <c:strRef>
              <c:f>культура!$A$20</c:f>
              <c:strCache>
                <c:ptCount val="1"/>
                <c:pt idx="0">
                  <c:v>Пестравский </c:v>
                </c:pt>
              </c:strCache>
            </c:strRef>
          </c:tx>
          <c:spPr>
            <a:ln w="35719">
              <a:noFill/>
            </a:ln>
          </c:spPr>
          <c:marker>
            <c:symbol val="circle"/>
            <c:size val="4"/>
            <c:spPr>
              <a:solidFill>
                <a:srgbClr val="4F81BD">
                  <a:lumMod val="50000"/>
                </a:srgbClr>
              </a:solidFill>
              <a:ln>
                <a:noFill/>
              </a:ln>
            </c:spPr>
          </c:marker>
          <c:dLbls>
            <c:dLbl>
              <c:idx val="0"/>
              <c:layout>
                <c:manualLayout>
                  <c:x val="-1.8817852411716816E-3"/>
                  <c:y val="6.1990212071778138E-3"/>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культура!$B$20</c:f>
              <c:numCache>
                <c:formatCode>General</c:formatCode>
                <c:ptCount val="1"/>
                <c:pt idx="0">
                  <c:v>15</c:v>
                </c:pt>
              </c:numCache>
            </c:numRef>
          </c:xVal>
          <c:yVal>
            <c:numRef>
              <c:f>культура!$C$20</c:f>
              <c:numCache>
                <c:formatCode>General</c:formatCode>
                <c:ptCount val="1"/>
                <c:pt idx="0">
                  <c:v>14</c:v>
                </c:pt>
              </c:numCache>
            </c:numRef>
          </c:yVal>
          <c:smooth val="0"/>
        </c:ser>
        <c:ser>
          <c:idx val="17"/>
          <c:order val="17"/>
          <c:tx>
            <c:strRef>
              <c:f>культура!$A$21</c:f>
              <c:strCache>
                <c:ptCount val="1"/>
                <c:pt idx="0">
                  <c:v>Похвистневский </c:v>
                </c:pt>
              </c:strCache>
            </c:strRef>
          </c:tx>
          <c:spPr>
            <a:ln w="35719">
              <a:noFill/>
            </a:ln>
          </c:spPr>
          <c:marker>
            <c:symbol val="circle"/>
            <c:size val="4"/>
            <c:spPr>
              <a:solidFill>
                <a:srgbClr val="4F81BD">
                  <a:lumMod val="50000"/>
                </a:srgbClr>
              </a:solidFill>
              <a:ln>
                <a:noFill/>
              </a:ln>
            </c:spPr>
          </c:marker>
          <c:dLbls>
            <c:dLbl>
              <c:idx val="0"/>
              <c:tx>
                <c:rich>
                  <a:bodyPr/>
                  <a:lstStyle/>
                  <a:p>
                    <a:pPr>
                      <a:defRPr/>
                    </a:pPr>
                    <a:r>
                      <a:rPr lang="ru-RU"/>
                      <a:t>Похвистневский</a:t>
                    </a:r>
                    <a:endParaRPr lang="en-US"/>
                  </a:p>
                </c:rich>
              </c:tx>
              <c:spPr/>
              <c:dLblPos val="t"/>
              <c:showLegendKey val="0"/>
              <c:showVal val="0"/>
              <c:showCatName val="0"/>
              <c:showSerName val="0"/>
              <c:showPercent val="0"/>
              <c:showBubbleSize val="0"/>
            </c:dLbl>
            <c:dLblPos val="t"/>
            <c:showLegendKey val="0"/>
            <c:showVal val="1"/>
            <c:showCatName val="0"/>
            <c:showSerName val="0"/>
            <c:showPercent val="0"/>
            <c:showBubbleSize val="0"/>
            <c:showLeaderLines val="0"/>
          </c:dLbls>
          <c:xVal>
            <c:numRef>
              <c:f>культура!$B$21</c:f>
              <c:numCache>
                <c:formatCode>General</c:formatCode>
                <c:ptCount val="1"/>
                <c:pt idx="0">
                  <c:v>34</c:v>
                </c:pt>
              </c:numCache>
            </c:numRef>
          </c:xVal>
          <c:yVal>
            <c:numRef>
              <c:f>культура!$C$21</c:f>
              <c:numCache>
                <c:formatCode>General</c:formatCode>
                <c:ptCount val="1"/>
                <c:pt idx="0">
                  <c:v>0</c:v>
                </c:pt>
              </c:numCache>
            </c:numRef>
          </c:yVal>
          <c:smooth val="0"/>
        </c:ser>
        <c:ser>
          <c:idx val="18"/>
          <c:order val="18"/>
          <c:tx>
            <c:strRef>
              <c:f>культура!$A$22</c:f>
              <c:strCache>
                <c:ptCount val="1"/>
                <c:pt idx="0">
                  <c:v>Приволжский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культура!$B$22</c:f>
              <c:numCache>
                <c:formatCode>General</c:formatCode>
                <c:ptCount val="1"/>
                <c:pt idx="0">
                  <c:v>18</c:v>
                </c:pt>
              </c:numCache>
            </c:numRef>
          </c:xVal>
          <c:yVal>
            <c:numRef>
              <c:f>культура!$C$22</c:f>
              <c:numCache>
                <c:formatCode>General</c:formatCode>
                <c:ptCount val="1"/>
                <c:pt idx="0">
                  <c:v>19</c:v>
                </c:pt>
              </c:numCache>
            </c:numRef>
          </c:yVal>
          <c:smooth val="0"/>
        </c:ser>
        <c:ser>
          <c:idx val="19"/>
          <c:order val="19"/>
          <c:tx>
            <c:strRef>
              <c:f>культура!$A$23</c:f>
              <c:strCache>
                <c:ptCount val="1"/>
                <c:pt idx="0">
                  <c:v>Сергиевский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культура!$B$23</c:f>
              <c:numCache>
                <c:formatCode>General</c:formatCode>
                <c:ptCount val="1"/>
                <c:pt idx="0">
                  <c:v>31</c:v>
                </c:pt>
              </c:numCache>
            </c:numRef>
          </c:xVal>
          <c:yVal>
            <c:numRef>
              <c:f>культура!$C$23</c:f>
              <c:numCache>
                <c:formatCode>General</c:formatCode>
                <c:ptCount val="1"/>
                <c:pt idx="0">
                  <c:v>32</c:v>
                </c:pt>
              </c:numCache>
            </c:numRef>
          </c:yVal>
          <c:smooth val="0"/>
        </c:ser>
        <c:ser>
          <c:idx val="20"/>
          <c:order val="20"/>
          <c:tx>
            <c:strRef>
              <c:f>культура!$A$24</c:f>
              <c:strCache>
                <c:ptCount val="1"/>
                <c:pt idx="0">
                  <c:v>Ставропольский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культура!$B$24</c:f>
              <c:numCache>
                <c:formatCode>General</c:formatCode>
                <c:ptCount val="1"/>
                <c:pt idx="0">
                  <c:v>34</c:v>
                </c:pt>
              </c:numCache>
            </c:numRef>
          </c:xVal>
          <c:yVal>
            <c:numRef>
              <c:f>культура!$C$24</c:f>
              <c:numCache>
                <c:formatCode>General</c:formatCode>
                <c:ptCount val="1"/>
                <c:pt idx="0">
                  <c:v>35</c:v>
                </c:pt>
              </c:numCache>
            </c:numRef>
          </c:yVal>
          <c:smooth val="0"/>
        </c:ser>
        <c:ser>
          <c:idx val="21"/>
          <c:order val="21"/>
          <c:tx>
            <c:strRef>
              <c:f>культура!$A$26</c:f>
              <c:strCache>
                <c:ptCount val="1"/>
                <c:pt idx="0">
                  <c:v>Хворостянский </c:v>
                </c:pt>
              </c:strCache>
            </c:strRef>
          </c:tx>
          <c:spPr>
            <a:ln w="35719">
              <a:noFill/>
            </a:ln>
          </c:spPr>
          <c:marker>
            <c:symbol val="circle"/>
            <c:size val="4"/>
            <c:spPr>
              <a:solidFill>
                <a:srgbClr val="4F81BD">
                  <a:lumMod val="50000"/>
                </a:srgbClr>
              </a:solidFill>
              <a:ln>
                <a:noFill/>
              </a:ln>
            </c:spPr>
          </c:marker>
          <c:dLbls>
            <c:dLbl>
              <c:idx val="0"/>
              <c:layout>
                <c:manualLayout>
                  <c:x val="-2.8487219808403859E-2"/>
                  <c:y val="6.0679716628809145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культура!$B$26</c:f>
              <c:numCache>
                <c:formatCode>General</c:formatCode>
                <c:ptCount val="1"/>
                <c:pt idx="0">
                  <c:v>19</c:v>
                </c:pt>
              </c:numCache>
            </c:numRef>
          </c:xVal>
          <c:yVal>
            <c:numRef>
              <c:f>культура!$C$26</c:f>
              <c:numCache>
                <c:formatCode>General</c:formatCode>
                <c:ptCount val="1"/>
                <c:pt idx="0">
                  <c:v>0</c:v>
                </c:pt>
              </c:numCache>
            </c:numRef>
          </c:yVal>
          <c:smooth val="0"/>
        </c:ser>
        <c:ser>
          <c:idx val="22"/>
          <c:order val="22"/>
          <c:tx>
            <c:strRef>
              <c:f>культура!$A$27</c:f>
              <c:strCache>
                <c:ptCount val="1"/>
                <c:pt idx="0">
                  <c:v>Челно-Вершинский </c:v>
                </c:pt>
              </c:strCache>
            </c:strRef>
          </c:tx>
          <c:spPr>
            <a:ln w="35719">
              <a:noFill/>
            </a:ln>
          </c:spPr>
          <c:marker>
            <c:symbol val="circle"/>
            <c:size val="4"/>
            <c:spPr>
              <a:solidFill>
                <a:srgbClr val="4F81BD">
                  <a:lumMod val="50000"/>
                </a:srgbClr>
              </a:solidFill>
              <a:ln>
                <a:noFill/>
              </a:ln>
            </c:spPr>
          </c:marker>
          <c:dLbls>
            <c:dLbl>
              <c:idx val="0"/>
              <c:layout>
                <c:manualLayout>
                  <c:x val="-9.4603465859007571E-2"/>
                  <c:y val="-2.9690048939641112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культура!$B$27</c:f>
              <c:numCache>
                <c:formatCode>General</c:formatCode>
                <c:ptCount val="1"/>
                <c:pt idx="0">
                  <c:v>23</c:v>
                </c:pt>
              </c:numCache>
            </c:numRef>
          </c:xVal>
          <c:yVal>
            <c:numRef>
              <c:f>культура!$C$27</c:f>
              <c:numCache>
                <c:formatCode>General</c:formatCode>
                <c:ptCount val="1"/>
                <c:pt idx="0">
                  <c:v>22</c:v>
                </c:pt>
              </c:numCache>
            </c:numRef>
          </c:yVal>
          <c:smooth val="0"/>
        </c:ser>
        <c:ser>
          <c:idx val="23"/>
          <c:order val="23"/>
          <c:tx>
            <c:strRef>
              <c:f>культура!$A$28</c:f>
              <c:strCache>
                <c:ptCount val="1"/>
                <c:pt idx="0">
                  <c:v>Шенталинский </c:v>
                </c:pt>
              </c:strCache>
            </c:strRef>
          </c:tx>
          <c:spPr>
            <a:ln w="35719">
              <a:noFill/>
            </a:ln>
          </c:spPr>
          <c:marker>
            <c:symbol val="circle"/>
            <c:size val="4"/>
            <c:spPr>
              <a:solidFill>
                <a:srgbClr val="4F81BD">
                  <a:lumMod val="50000"/>
                </a:srgbClr>
              </a:solidFill>
              <a:ln>
                <a:noFill/>
              </a:ln>
            </c:spPr>
          </c:marker>
          <c:dLbls>
            <c:dLbl>
              <c:idx val="0"/>
              <c:layout>
                <c:manualLayout>
                  <c:x val="-3.2995467420017507E-2"/>
                  <c:y val="6.1510075812069499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культура!$B$28</c:f>
              <c:numCache>
                <c:formatCode>General</c:formatCode>
                <c:ptCount val="1"/>
                <c:pt idx="0">
                  <c:v>29</c:v>
                </c:pt>
              </c:numCache>
            </c:numRef>
          </c:xVal>
          <c:yVal>
            <c:numRef>
              <c:f>культура!$C$28</c:f>
              <c:numCache>
                <c:formatCode>General</c:formatCode>
                <c:ptCount val="1"/>
                <c:pt idx="0">
                  <c:v>0</c:v>
                </c:pt>
              </c:numCache>
            </c:numRef>
          </c:yVal>
          <c:smooth val="0"/>
        </c:ser>
        <c:ser>
          <c:idx val="24"/>
          <c:order val="24"/>
          <c:tx>
            <c:strRef>
              <c:f>культура!$A$29</c:f>
              <c:strCache>
                <c:ptCount val="1"/>
                <c:pt idx="0">
                  <c:v>Шигонский </c:v>
                </c:pt>
              </c:strCache>
            </c:strRef>
          </c:tx>
          <c:spPr>
            <a:ln w="35719">
              <a:noFill/>
            </a:ln>
          </c:spPr>
          <c:marker>
            <c:symbol val="circle"/>
            <c:size val="4"/>
            <c:spPr>
              <a:solidFill>
                <a:srgbClr val="FF0000"/>
              </a:solidFill>
              <a:ln>
                <a:noFill/>
              </a:ln>
            </c:spPr>
          </c:marker>
          <c:dPt>
            <c:idx val="0"/>
            <c:marker>
              <c:spPr>
                <a:solidFill>
                  <a:schemeClr val="tx2">
                    <a:lumMod val="75000"/>
                  </a:schemeClr>
                </a:solidFill>
                <a:ln>
                  <a:noFill/>
                </a:ln>
              </c:spPr>
            </c:marker>
            <c:bubble3D val="0"/>
          </c:dPt>
          <c:dLbls>
            <c:dLbl>
              <c:idx val="0"/>
              <c:layout>
                <c:manualLayout>
                  <c:x val="-6.2768881965849871E-2"/>
                  <c:y val="2.4214553542811438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культура!$B$27</c:f>
              <c:numCache>
                <c:formatCode>General</c:formatCode>
                <c:ptCount val="1"/>
                <c:pt idx="0">
                  <c:v>23</c:v>
                </c:pt>
              </c:numCache>
            </c:numRef>
          </c:xVal>
          <c:yVal>
            <c:numRef>
              <c:f>культура!$C$29</c:f>
              <c:numCache>
                <c:formatCode>General</c:formatCode>
                <c:ptCount val="1"/>
                <c:pt idx="0">
                  <c:v>20</c:v>
                </c:pt>
              </c:numCache>
            </c:numRef>
          </c:yVal>
          <c:smooth val="0"/>
        </c:ser>
        <c:ser>
          <c:idx val="25"/>
          <c:order val="25"/>
          <c:tx>
            <c:strRef>
              <c:f>культура!$A$15</c:f>
              <c:strCache>
                <c:ptCount val="1"/>
                <c:pt idx="0">
                  <c:v>Клявлинский</c:v>
                </c:pt>
              </c:strCache>
            </c:strRef>
          </c:tx>
          <c:spPr>
            <a:ln w="35719">
              <a:noFill/>
            </a:ln>
          </c:spPr>
          <c:marker>
            <c:symbol val="circle"/>
            <c:size val="4"/>
            <c:spPr>
              <a:solidFill>
                <a:schemeClr val="accent1">
                  <a:lumMod val="50000"/>
                </a:schemeClr>
              </a:solidFill>
              <a:ln>
                <a:noFill/>
              </a:ln>
            </c:spPr>
          </c:marker>
          <c:dLbls>
            <c:dLbl>
              <c:idx val="0"/>
              <c:layout>
                <c:manualLayout>
                  <c:x val="-4.2512515446693849E-2"/>
                  <c:y val="-4.1109298531810771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культура!$B$15</c:f>
              <c:numCache>
                <c:formatCode>General</c:formatCode>
                <c:ptCount val="1"/>
                <c:pt idx="0">
                  <c:v>25</c:v>
                </c:pt>
              </c:numCache>
            </c:numRef>
          </c:xVal>
          <c:yVal>
            <c:numRef>
              <c:f>культура!$C$15</c:f>
              <c:numCache>
                <c:formatCode>General</c:formatCode>
                <c:ptCount val="1"/>
                <c:pt idx="0">
                  <c:v>0</c:v>
                </c:pt>
              </c:numCache>
            </c:numRef>
          </c:yVal>
          <c:smooth val="0"/>
        </c:ser>
        <c:dLbls>
          <c:showLegendKey val="0"/>
          <c:showVal val="0"/>
          <c:showCatName val="0"/>
          <c:showSerName val="0"/>
          <c:showPercent val="0"/>
          <c:showBubbleSize val="0"/>
        </c:dLbls>
        <c:axId val="279480960"/>
        <c:axId val="279491328"/>
      </c:scatterChart>
      <c:valAx>
        <c:axId val="279480960"/>
        <c:scaling>
          <c:orientation val="minMax"/>
          <c:min val="13"/>
        </c:scaling>
        <c:delete val="0"/>
        <c:axPos val="b"/>
        <c:title>
          <c:tx>
            <c:rich>
              <a:bodyPr/>
              <a:lstStyle/>
              <a:p>
                <a:pPr>
                  <a:defRPr sz="750" b="1" i="0" u="none" strike="noStrike" baseline="0">
                    <a:solidFill>
                      <a:srgbClr val="000000"/>
                    </a:solidFill>
                    <a:latin typeface="Times New Roman"/>
                    <a:ea typeface="Times New Roman"/>
                    <a:cs typeface="Times New Roman"/>
                  </a:defRPr>
                </a:pPr>
                <a:r>
                  <a:rPr lang="ru-RU"/>
                  <a:t>Число учреждений культурно-досугового типа</a:t>
                </a:r>
              </a:p>
            </c:rich>
          </c:tx>
          <c:overlay val="0"/>
        </c:title>
        <c:numFmt formatCode="General" sourceLinked="1"/>
        <c:majorTickMark val="out"/>
        <c:minorTickMark val="none"/>
        <c:tickLblPos val="nextTo"/>
        <c:txPr>
          <a:bodyPr rot="0" vert="horz"/>
          <a:lstStyle/>
          <a:p>
            <a:pPr>
              <a:defRPr sz="750" b="0" i="0" u="none" strike="noStrike" baseline="0">
                <a:solidFill>
                  <a:srgbClr val="000000"/>
                </a:solidFill>
                <a:latin typeface="Times New Roman"/>
                <a:ea typeface="Times New Roman"/>
                <a:cs typeface="Times New Roman"/>
              </a:defRPr>
            </a:pPr>
            <a:endParaRPr lang="ru-RU"/>
          </a:p>
        </c:txPr>
        <c:crossAx val="279491328"/>
        <c:crosses val="autoZero"/>
        <c:crossBetween val="midCat"/>
      </c:valAx>
      <c:valAx>
        <c:axId val="279491328"/>
        <c:scaling>
          <c:orientation val="minMax"/>
          <c:min val="0"/>
        </c:scaling>
        <c:delete val="0"/>
        <c:axPos val="l"/>
        <c:title>
          <c:tx>
            <c:rich>
              <a:bodyPr/>
              <a:lstStyle/>
              <a:p>
                <a:pPr>
                  <a:defRPr sz="750" b="1" i="0" u="none" strike="noStrike" baseline="0">
                    <a:solidFill>
                      <a:srgbClr val="000000"/>
                    </a:solidFill>
                    <a:latin typeface="Times New Roman"/>
                    <a:ea typeface="Times New Roman"/>
                    <a:cs typeface="Times New Roman"/>
                  </a:defRPr>
                </a:pPr>
                <a:r>
                  <a:rPr lang="ru-RU"/>
                  <a:t>Число общедоступных  библиотек</a:t>
                </a:r>
              </a:p>
            </c:rich>
          </c:tx>
          <c:overlay val="0"/>
        </c:title>
        <c:numFmt formatCode="General" sourceLinked="1"/>
        <c:majorTickMark val="out"/>
        <c:minorTickMark val="none"/>
        <c:tickLblPos val="nextTo"/>
        <c:crossAx val="279480960"/>
        <c:crosses val="autoZero"/>
        <c:crossBetween val="midCat"/>
      </c:valAx>
      <c:spPr>
        <a:noFill/>
        <a:ln>
          <a:solidFill>
            <a:schemeClr val="dk1">
              <a:shade val="95000"/>
              <a:satMod val="105000"/>
            </a:schemeClr>
          </a:solidFill>
        </a:ln>
      </c:spPr>
    </c:plotArea>
    <c:plotVisOnly val="1"/>
    <c:dispBlanksAs val="gap"/>
    <c:showDLblsOverMax val="0"/>
  </c:chart>
  <c:spPr>
    <a:noFill/>
  </c:spPr>
  <c:txPr>
    <a:bodyPr/>
    <a:lstStyle/>
    <a:p>
      <a:pPr>
        <a:defRPr sz="750" baseline="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26749781277414"/>
          <c:y val="0"/>
          <c:w val="0.47189334053580134"/>
          <c:h val="0.98578762512840834"/>
        </c:manualLayout>
      </c:layout>
      <c:pieChart>
        <c:varyColors val="1"/>
        <c:ser>
          <c:idx val="0"/>
          <c:order val="0"/>
          <c:spPr>
            <a:solidFill>
              <a:schemeClr val="accent1"/>
            </a:solidFill>
          </c:spPr>
          <c:explosion val="2"/>
          <c:dPt>
            <c:idx val="0"/>
            <c:bubble3D val="0"/>
            <c:spPr>
              <a:solidFill>
                <a:srgbClr val="376092"/>
              </a:solidFill>
            </c:spPr>
          </c:dPt>
          <c:dPt>
            <c:idx val="1"/>
            <c:bubble3D val="0"/>
            <c:spPr>
              <a:solidFill>
                <a:srgbClr val="C50000"/>
              </a:solidFill>
            </c:spPr>
          </c:dPt>
          <c:dPt>
            <c:idx val="2"/>
            <c:bubble3D val="0"/>
            <c:spPr>
              <a:solidFill>
                <a:srgbClr val="7F7F7F"/>
              </a:solidFill>
            </c:spPr>
          </c:dPt>
          <c:dLbls>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dLbls>
          <c:cat>
            <c:strRef>
              <c:f>Молодежь!$D$13:$D$15</c:f>
              <c:strCache>
                <c:ptCount val="3"/>
                <c:pt idx="0">
                  <c:v>От 0 до 13 лет</c:v>
                </c:pt>
                <c:pt idx="1">
                  <c:v>От 14-29 лет </c:v>
                </c:pt>
                <c:pt idx="2">
                  <c:v>Больше 30 лет</c:v>
                </c:pt>
              </c:strCache>
            </c:strRef>
          </c:cat>
          <c:val>
            <c:numRef>
              <c:f>Молодежь!$E$13:$E$15</c:f>
              <c:numCache>
                <c:formatCode>General</c:formatCode>
                <c:ptCount val="3"/>
                <c:pt idx="0">
                  <c:v>1784</c:v>
                </c:pt>
                <c:pt idx="1">
                  <c:v>2107</c:v>
                </c:pt>
                <c:pt idx="2">
                  <c:v>6957</c:v>
                </c:pt>
              </c:numCache>
            </c:numRef>
          </c:val>
        </c:ser>
        <c:dLbls>
          <c:showLegendKey val="0"/>
          <c:showVal val="0"/>
          <c:showCatName val="0"/>
          <c:showSerName val="0"/>
          <c:showPercent val="0"/>
          <c:showBubbleSize val="0"/>
          <c:showLeaderLines val="1"/>
        </c:dLbls>
        <c:firstSliceAng val="0"/>
      </c:pieChart>
      <c:spPr>
        <a:noFill/>
        <a:ln w="25413">
          <a:noFill/>
        </a:ln>
      </c:spPr>
    </c:plotArea>
    <c:legend>
      <c:legendPos val="r"/>
      <c:overlay val="0"/>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ln>
      <a:noFill/>
    </a:ln>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286753238371157"/>
          <c:y val="0.14591614820089707"/>
          <c:w val="0.65965235186340265"/>
          <c:h val="0.75330829388663678"/>
        </c:manualLayout>
      </c:layout>
      <c:barChart>
        <c:barDir val="bar"/>
        <c:grouping val="clustered"/>
        <c:varyColors val="0"/>
        <c:ser>
          <c:idx val="0"/>
          <c:order val="0"/>
          <c:invertIfNegative val="0"/>
          <c:dPt>
            <c:idx val="11"/>
            <c:invertIfNegative val="0"/>
            <c:bubble3D val="0"/>
            <c:spPr>
              <a:solidFill>
                <a:srgbClr val="FF0000"/>
              </a:solidFill>
            </c:spPr>
          </c:dPt>
          <c:cat>
            <c:strRef>
              <c:f>Правонарушения!$A$3:$A$29</c:f>
              <c:strCache>
                <c:ptCount val="27"/>
                <c:pt idx="0">
                  <c:v>Сызранский</c:v>
                </c:pt>
                <c:pt idx="1">
                  <c:v>Богатовский</c:v>
                </c:pt>
                <c:pt idx="2">
                  <c:v>Красноярский</c:v>
                </c:pt>
                <c:pt idx="3">
                  <c:v>Красноармейский</c:v>
                </c:pt>
                <c:pt idx="4">
                  <c:v>Ставропольский</c:v>
                </c:pt>
                <c:pt idx="5">
                  <c:v>Елховский</c:v>
                </c:pt>
                <c:pt idx="6">
                  <c:v>Безенчукский</c:v>
                </c:pt>
                <c:pt idx="7">
                  <c:v>Кинель-Черкасский</c:v>
                </c:pt>
                <c:pt idx="8">
                  <c:v>Хворостянский</c:v>
                </c:pt>
                <c:pt idx="9">
                  <c:v>Исаклинский</c:v>
                </c:pt>
                <c:pt idx="10">
                  <c:v>Волжский</c:v>
                </c:pt>
                <c:pt idx="11">
                  <c:v>Камышлинский</c:v>
                </c:pt>
                <c:pt idx="12">
                  <c:v>Большечерниговский</c:v>
                </c:pt>
                <c:pt idx="13">
                  <c:v>Клявлинский</c:v>
                </c:pt>
                <c:pt idx="14">
                  <c:v>Сергиевский</c:v>
                </c:pt>
                <c:pt idx="15">
                  <c:v>Похвистневский</c:v>
                </c:pt>
                <c:pt idx="16">
                  <c:v>Большеглушицкий</c:v>
                </c:pt>
                <c:pt idx="17">
                  <c:v>Шенталинский</c:v>
                </c:pt>
                <c:pt idx="18">
                  <c:v>Кошкинский</c:v>
                </c:pt>
                <c:pt idx="19">
                  <c:v>Шигонский</c:v>
                </c:pt>
                <c:pt idx="20">
                  <c:v>Челно-Вершинский</c:v>
                </c:pt>
                <c:pt idx="21">
                  <c:v>Пестравский</c:v>
                </c:pt>
                <c:pt idx="22">
                  <c:v>Кинельский</c:v>
                </c:pt>
                <c:pt idx="23">
                  <c:v>Алексеевский</c:v>
                </c:pt>
                <c:pt idx="24">
                  <c:v>Приволжский</c:v>
                </c:pt>
                <c:pt idx="25">
                  <c:v>Борский</c:v>
                </c:pt>
                <c:pt idx="26">
                  <c:v>Нефтегорский</c:v>
                </c:pt>
              </c:strCache>
            </c:strRef>
          </c:cat>
          <c:val>
            <c:numRef>
              <c:f>Правонарушения!$C$3:$C$29</c:f>
              <c:numCache>
                <c:formatCode>General</c:formatCode>
                <c:ptCount val="27"/>
                <c:pt idx="0">
                  <c:v>1830</c:v>
                </c:pt>
                <c:pt idx="1">
                  <c:v>1622</c:v>
                </c:pt>
                <c:pt idx="2">
                  <c:v>1588</c:v>
                </c:pt>
                <c:pt idx="3">
                  <c:v>1537</c:v>
                </c:pt>
                <c:pt idx="4">
                  <c:v>1532</c:v>
                </c:pt>
                <c:pt idx="5">
                  <c:v>1454</c:v>
                </c:pt>
                <c:pt idx="6">
                  <c:v>1293</c:v>
                </c:pt>
                <c:pt idx="7">
                  <c:v>1282</c:v>
                </c:pt>
                <c:pt idx="8">
                  <c:v>1273</c:v>
                </c:pt>
                <c:pt idx="9">
                  <c:v>1255</c:v>
                </c:pt>
                <c:pt idx="10">
                  <c:v>1196</c:v>
                </c:pt>
                <c:pt idx="11">
                  <c:v>1186</c:v>
                </c:pt>
                <c:pt idx="12">
                  <c:v>1140</c:v>
                </c:pt>
                <c:pt idx="13">
                  <c:v>1139</c:v>
                </c:pt>
                <c:pt idx="14">
                  <c:v>1132</c:v>
                </c:pt>
                <c:pt idx="15">
                  <c:v>1124</c:v>
                </c:pt>
                <c:pt idx="16">
                  <c:v>1112</c:v>
                </c:pt>
                <c:pt idx="17">
                  <c:v>1070</c:v>
                </c:pt>
                <c:pt idx="18">
                  <c:v>1069</c:v>
                </c:pt>
                <c:pt idx="19">
                  <c:v>1050</c:v>
                </c:pt>
                <c:pt idx="20">
                  <c:v>1031</c:v>
                </c:pt>
                <c:pt idx="21">
                  <c:v>1010</c:v>
                </c:pt>
                <c:pt idx="22">
                  <c:v>995</c:v>
                </c:pt>
                <c:pt idx="23">
                  <c:v>977</c:v>
                </c:pt>
                <c:pt idx="24">
                  <c:v>974</c:v>
                </c:pt>
                <c:pt idx="25">
                  <c:v>916</c:v>
                </c:pt>
                <c:pt idx="26">
                  <c:v>856</c:v>
                </c:pt>
              </c:numCache>
            </c:numRef>
          </c:val>
        </c:ser>
        <c:ser>
          <c:idx val="1"/>
          <c:order val="1"/>
          <c:spPr>
            <a:noFill/>
          </c:spPr>
          <c:invertIfNegative val="0"/>
          <c:trendline>
            <c:spPr>
              <a:ln>
                <a:prstDash val="sysDash"/>
              </a:ln>
            </c:spPr>
            <c:trendlineType val="linear"/>
            <c:dispRSqr val="0"/>
            <c:dispEq val="0"/>
          </c:trendline>
          <c:cat>
            <c:strRef>
              <c:f>Правонарушения!$A$3:$A$29</c:f>
              <c:strCache>
                <c:ptCount val="27"/>
                <c:pt idx="0">
                  <c:v>Сызранский</c:v>
                </c:pt>
                <c:pt idx="1">
                  <c:v>Богатовский</c:v>
                </c:pt>
                <c:pt idx="2">
                  <c:v>Красноярский</c:v>
                </c:pt>
                <c:pt idx="3">
                  <c:v>Красноармейский</c:v>
                </c:pt>
                <c:pt idx="4">
                  <c:v>Ставропольский</c:v>
                </c:pt>
                <c:pt idx="5">
                  <c:v>Елховский</c:v>
                </c:pt>
                <c:pt idx="6">
                  <c:v>Безенчукский</c:v>
                </c:pt>
                <c:pt idx="7">
                  <c:v>Кинель-Черкасский</c:v>
                </c:pt>
                <c:pt idx="8">
                  <c:v>Хворостянский</c:v>
                </c:pt>
                <c:pt idx="9">
                  <c:v>Исаклинский</c:v>
                </c:pt>
                <c:pt idx="10">
                  <c:v>Волжский</c:v>
                </c:pt>
                <c:pt idx="11">
                  <c:v>Камышлинский</c:v>
                </c:pt>
                <c:pt idx="12">
                  <c:v>Большечерниговский</c:v>
                </c:pt>
                <c:pt idx="13">
                  <c:v>Клявлинский</c:v>
                </c:pt>
                <c:pt idx="14">
                  <c:v>Сергиевский</c:v>
                </c:pt>
                <c:pt idx="15">
                  <c:v>Похвистневский</c:v>
                </c:pt>
                <c:pt idx="16">
                  <c:v>Большеглушицкий</c:v>
                </c:pt>
                <c:pt idx="17">
                  <c:v>Шенталинский</c:v>
                </c:pt>
                <c:pt idx="18">
                  <c:v>Кошкинский</c:v>
                </c:pt>
                <c:pt idx="19">
                  <c:v>Шигонский</c:v>
                </c:pt>
                <c:pt idx="20">
                  <c:v>Челно-Вершинский</c:v>
                </c:pt>
                <c:pt idx="21">
                  <c:v>Пестравский</c:v>
                </c:pt>
                <c:pt idx="22">
                  <c:v>Кинельский</c:v>
                </c:pt>
                <c:pt idx="23">
                  <c:v>Алексеевский</c:v>
                </c:pt>
                <c:pt idx="24">
                  <c:v>Приволжский</c:v>
                </c:pt>
                <c:pt idx="25">
                  <c:v>Борский</c:v>
                </c:pt>
                <c:pt idx="26">
                  <c:v>Нефтегорский</c:v>
                </c:pt>
              </c:strCache>
            </c:strRef>
          </c:cat>
          <c:val>
            <c:numRef>
              <c:f>Правонарушения!$D$3:$D$29</c:f>
              <c:numCache>
                <c:formatCode>General</c:formatCode>
                <c:ptCount val="27"/>
                <c:pt idx="0">
                  <c:v>1209</c:v>
                </c:pt>
                <c:pt idx="1">
                  <c:v>1209</c:v>
                </c:pt>
                <c:pt idx="2">
                  <c:v>1209</c:v>
                </c:pt>
                <c:pt idx="3">
                  <c:v>1209</c:v>
                </c:pt>
                <c:pt idx="4">
                  <c:v>1209</c:v>
                </c:pt>
                <c:pt idx="5">
                  <c:v>1209</c:v>
                </c:pt>
                <c:pt idx="6">
                  <c:v>1209</c:v>
                </c:pt>
                <c:pt idx="7">
                  <c:v>1209</c:v>
                </c:pt>
                <c:pt idx="8">
                  <c:v>1209</c:v>
                </c:pt>
                <c:pt idx="9">
                  <c:v>1209</c:v>
                </c:pt>
                <c:pt idx="10">
                  <c:v>1209</c:v>
                </c:pt>
                <c:pt idx="11">
                  <c:v>1209</c:v>
                </c:pt>
                <c:pt idx="12">
                  <c:v>1209</c:v>
                </c:pt>
                <c:pt idx="13">
                  <c:v>1209</c:v>
                </c:pt>
                <c:pt idx="14">
                  <c:v>1209</c:v>
                </c:pt>
                <c:pt idx="15">
                  <c:v>1209</c:v>
                </c:pt>
                <c:pt idx="16">
                  <c:v>1209</c:v>
                </c:pt>
                <c:pt idx="17">
                  <c:v>1209</c:v>
                </c:pt>
                <c:pt idx="18">
                  <c:v>1209</c:v>
                </c:pt>
                <c:pt idx="19">
                  <c:v>1209</c:v>
                </c:pt>
                <c:pt idx="20">
                  <c:v>1209</c:v>
                </c:pt>
                <c:pt idx="21">
                  <c:v>1209</c:v>
                </c:pt>
                <c:pt idx="22">
                  <c:v>1209</c:v>
                </c:pt>
                <c:pt idx="23">
                  <c:v>1209</c:v>
                </c:pt>
                <c:pt idx="24">
                  <c:v>1209</c:v>
                </c:pt>
                <c:pt idx="25">
                  <c:v>1209</c:v>
                </c:pt>
                <c:pt idx="26">
                  <c:v>1209</c:v>
                </c:pt>
              </c:numCache>
            </c:numRef>
          </c:val>
        </c:ser>
        <c:dLbls>
          <c:showLegendKey val="0"/>
          <c:showVal val="0"/>
          <c:showCatName val="0"/>
          <c:showSerName val="0"/>
          <c:showPercent val="0"/>
          <c:showBubbleSize val="0"/>
        </c:dLbls>
        <c:gapWidth val="150"/>
        <c:axId val="279555456"/>
        <c:axId val="279569536"/>
      </c:barChart>
      <c:catAx>
        <c:axId val="279555456"/>
        <c:scaling>
          <c:orientation val="minMax"/>
        </c:scaling>
        <c:delete val="0"/>
        <c:axPos val="l"/>
        <c:numFmt formatCode="General" sourceLinked="1"/>
        <c:majorTickMark val="none"/>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9569536"/>
        <c:crosses val="autoZero"/>
        <c:auto val="1"/>
        <c:lblAlgn val="ctr"/>
        <c:lblOffset val="100"/>
        <c:tickLblSkip val="1"/>
        <c:noMultiLvlLbl val="0"/>
      </c:catAx>
      <c:valAx>
        <c:axId val="279569536"/>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79555456"/>
        <c:crosses val="autoZero"/>
        <c:crossBetween val="between"/>
      </c:valAx>
    </c:plotArea>
    <c:plotVisOnly val="1"/>
    <c:dispBlanksAs val="gap"/>
    <c:showDLblsOverMax val="0"/>
  </c:chart>
  <c:txPr>
    <a:bodyPr/>
    <a:lstStyle/>
    <a:p>
      <a:pPr>
        <a:defRPr sz="800"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26618547681601"/>
          <c:y val="0.28288203557888753"/>
          <c:w val="0.71490048118985161"/>
          <c:h val="0.5052121609798752"/>
        </c:manualLayout>
      </c:layout>
      <c:scatterChart>
        <c:scatterStyle val="lineMarker"/>
        <c:varyColors val="0"/>
        <c:ser>
          <c:idx val="0"/>
          <c:order val="0"/>
          <c:spPr>
            <a:ln w="28550">
              <a:noFill/>
            </a:ln>
          </c:spPr>
          <c:xVal>
            <c:numRef>
              <c:f>Правонарушения!$A$41:$A$51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xVal>
          <c:yVal>
            <c:numRef>
              <c:f>Правонарушения!$B$41:$B$51</c:f>
              <c:numCache>
                <c:formatCode>General</c:formatCode>
                <c:ptCount val="11"/>
                <c:pt idx="0">
                  <c:v>2216</c:v>
                </c:pt>
                <c:pt idx="1">
                  <c:v>1770</c:v>
                </c:pt>
                <c:pt idx="2">
                  <c:v>1781</c:v>
                </c:pt>
                <c:pt idx="3">
                  <c:v>1456</c:v>
                </c:pt>
                <c:pt idx="4">
                  <c:v>1434</c:v>
                </c:pt>
                <c:pt idx="5">
                  <c:v>1466</c:v>
                </c:pt>
                <c:pt idx="6">
                  <c:v>1198</c:v>
                </c:pt>
                <c:pt idx="7">
                  <c:v>909</c:v>
                </c:pt>
                <c:pt idx="8">
                  <c:v>1184</c:v>
                </c:pt>
                <c:pt idx="9">
                  <c:v>1549</c:v>
                </c:pt>
                <c:pt idx="10">
                  <c:v>1186</c:v>
                </c:pt>
              </c:numCache>
            </c:numRef>
          </c:yVal>
          <c:smooth val="0"/>
        </c:ser>
        <c:dLbls>
          <c:showLegendKey val="0"/>
          <c:showVal val="0"/>
          <c:showCatName val="0"/>
          <c:showSerName val="0"/>
          <c:showPercent val="0"/>
          <c:showBubbleSize val="0"/>
        </c:dLbls>
        <c:axId val="281961216"/>
        <c:axId val="281963136"/>
      </c:scatterChart>
      <c:valAx>
        <c:axId val="281961216"/>
        <c:scaling>
          <c:orientation val="minMax"/>
          <c:max val="2016"/>
          <c:min val="2006"/>
        </c:scaling>
        <c:delete val="0"/>
        <c:axPos val="b"/>
        <c:title>
          <c:tx>
            <c:rich>
              <a:bodyPr/>
              <a:lstStyle/>
              <a:p>
                <a:pPr>
                  <a:defRPr sz="800" b="1" i="0" u="none" strike="noStrike" baseline="0">
                    <a:solidFill>
                      <a:srgbClr val="000000"/>
                    </a:solidFill>
                    <a:latin typeface="Times New Roman"/>
                    <a:ea typeface="Times New Roman"/>
                    <a:cs typeface="Times New Roman"/>
                  </a:defRPr>
                </a:pPr>
                <a:r>
                  <a:rPr lang="ru-RU"/>
                  <a:t>Годы</a:t>
                </a:r>
              </a:p>
            </c:rich>
          </c:tx>
          <c:overlay val="0"/>
        </c:title>
        <c:numFmt formatCode="General" sourceLinked="1"/>
        <c:majorTickMark val="none"/>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81963136"/>
        <c:crosses val="autoZero"/>
        <c:crossBetween val="midCat"/>
        <c:majorUnit val="1"/>
      </c:valAx>
      <c:valAx>
        <c:axId val="281963136"/>
        <c:scaling>
          <c:orientation val="minMax"/>
        </c:scaling>
        <c:delete val="0"/>
        <c:axPos val="l"/>
        <c:title>
          <c:tx>
            <c:rich>
              <a:bodyPr/>
              <a:lstStyle/>
              <a:p>
                <a:pPr>
                  <a:defRPr sz="800" b="1" i="0" u="none" strike="noStrike" baseline="0">
                    <a:solidFill>
                      <a:srgbClr val="000000"/>
                    </a:solidFill>
                    <a:latin typeface="Times New Roman"/>
                    <a:ea typeface="Times New Roman"/>
                    <a:cs typeface="Times New Roman"/>
                  </a:defRPr>
                </a:pPr>
                <a:r>
                  <a:rPr lang="ru-RU"/>
                  <a:t>Число зарегистрированных преступлений на 100 тыс. населения</a:t>
                </a:r>
              </a:p>
            </c:rich>
          </c:tx>
          <c:layout>
            <c:manualLayout>
              <c:xMode val="edge"/>
              <c:yMode val="edge"/>
              <c:x val="3.0555639143833135E-2"/>
              <c:y val="0.21417849650514159"/>
            </c:manualLayout>
          </c:layout>
          <c:overlay val="0"/>
        </c:title>
        <c:numFmt formatCode="General" sourceLinked="1"/>
        <c:majorTickMark val="none"/>
        <c:minorTickMark val="none"/>
        <c:tickLblPos val="nextTo"/>
        <c:crossAx val="281961216"/>
        <c:crosses val="autoZero"/>
        <c:crossBetween val="midCat"/>
      </c:valAx>
    </c:plotArea>
    <c:plotVisOnly val="1"/>
    <c:dispBlanksAs val="gap"/>
    <c:showDLblsOverMax val="0"/>
  </c:chart>
  <c:txPr>
    <a:bodyPr/>
    <a:lstStyle/>
    <a:p>
      <a:pPr>
        <a:defRPr sz="800" baseline="0">
          <a:solidFill>
            <a:sysClr val="windowText" lastClr="000000"/>
          </a:solidFill>
          <a:latin typeface="Times New Roman" pitchFamily="18" charset="0"/>
        </a:defRPr>
      </a:pPr>
      <a:endParaRPr lang="ru-RU"/>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824624194702963E-2"/>
          <c:y val="3.1796579962080351E-2"/>
          <c:w val="0.87205399325084365"/>
          <c:h val="0.71843444456185435"/>
        </c:manualLayout>
      </c:layout>
      <c:barChart>
        <c:barDir val="col"/>
        <c:grouping val="clustered"/>
        <c:varyColors val="0"/>
        <c:ser>
          <c:idx val="0"/>
          <c:order val="0"/>
          <c:tx>
            <c:strRef>
              <c:f>жкх!$B$7</c:f>
              <c:strCache>
                <c:ptCount val="1"/>
                <c:pt idx="0">
                  <c:v>Жилищный фонд (общая площадь жилых помещений), тыс кв. метров</c:v>
                </c:pt>
              </c:strCache>
            </c:strRef>
          </c:tx>
          <c:spPr>
            <a:solidFill>
              <a:srgbClr val="4F81BD">
                <a:lumMod val="75000"/>
              </a:srgbClr>
            </a:solidFill>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жкх!$C$6:$G$6</c:f>
              <c:numCache>
                <c:formatCode>General</c:formatCode>
                <c:ptCount val="5"/>
                <c:pt idx="0">
                  <c:v>2012</c:v>
                </c:pt>
                <c:pt idx="1">
                  <c:v>2013</c:v>
                </c:pt>
                <c:pt idx="2">
                  <c:v>2014</c:v>
                </c:pt>
                <c:pt idx="3">
                  <c:v>2015</c:v>
                </c:pt>
                <c:pt idx="4">
                  <c:v>2016</c:v>
                </c:pt>
              </c:numCache>
            </c:numRef>
          </c:cat>
          <c:val>
            <c:numRef>
              <c:f>жкх!$C$7:$G$7</c:f>
              <c:numCache>
                <c:formatCode>General</c:formatCode>
                <c:ptCount val="5"/>
                <c:pt idx="0">
                  <c:v>234</c:v>
                </c:pt>
                <c:pt idx="1">
                  <c:v>267</c:v>
                </c:pt>
                <c:pt idx="2">
                  <c:v>271.3</c:v>
                </c:pt>
                <c:pt idx="3" formatCode="0.0">
                  <c:v>274.3</c:v>
                </c:pt>
                <c:pt idx="4">
                  <c:v>276.5</c:v>
                </c:pt>
              </c:numCache>
            </c:numRef>
          </c:val>
        </c:ser>
        <c:dLbls>
          <c:showLegendKey val="0"/>
          <c:showVal val="0"/>
          <c:showCatName val="0"/>
          <c:showSerName val="0"/>
          <c:showPercent val="0"/>
          <c:showBubbleSize val="0"/>
        </c:dLbls>
        <c:gapWidth val="150"/>
        <c:axId val="278308352"/>
        <c:axId val="278309888"/>
      </c:barChart>
      <c:lineChart>
        <c:grouping val="standard"/>
        <c:varyColors val="0"/>
        <c:ser>
          <c:idx val="1"/>
          <c:order val="1"/>
          <c:tx>
            <c:strRef>
              <c:f>жкх!$B$8</c:f>
              <c:strCache>
                <c:ptCount val="1"/>
                <c:pt idx="0">
                  <c:v>Общая площадь жилых помещений, приходящаяся в среднем на одного жителя, кв. метров</c:v>
                </c:pt>
              </c:strCache>
            </c:strRef>
          </c:tx>
          <c:spPr>
            <a:ln>
              <a:solidFill>
                <a:srgbClr val="FF0000"/>
              </a:solidFill>
            </a:ln>
          </c:spPr>
          <c:marker>
            <c:spPr>
              <a:solidFill>
                <a:srgbClr val="FF0000"/>
              </a:solidFill>
            </c:spPr>
          </c:marker>
          <c:dLbls>
            <c:dLbl>
              <c:idx val="0"/>
              <c:layout>
                <c:manualLayout>
                  <c:x val="0"/>
                  <c:y val="3.4883720930232558E-2"/>
                </c:manualLayout>
              </c:layout>
              <c:dLblPos val="r"/>
              <c:showLegendKey val="0"/>
              <c:showVal val="1"/>
              <c:showCatName val="0"/>
              <c:showSerName val="0"/>
              <c:showPercent val="0"/>
              <c:showBubbleSize val="0"/>
            </c:dLbl>
            <c:dLbl>
              <c:idx val="1"/>
              <c:layout>
                <c:manualLayout>
                  <c:x val="-4.5266966784071865E-17"/>
                  <c:y val="4.2635658914728813E-2"/>
                </c:manualLayout>
              </c:layout>
              <c:dLblPos val="r"/>
              <c:showLegendKey val="0"/>
              <c:showVal val="1"/>
              <c:showCatName val="0"/>
              <c:showSerName val="0"/>
              <c:showPercent val="0"/>
              <c:showBubbleSize val="0"/>
            </c:dLbl>
            <c:dLbl>
              <c:idx val="2"/>
              <c:layout>
                <c:manualLayout>
                  <c:x val="0"/>
                  <c:y val="3.4883720930232558E-2"/>
                </c:manualLayout>
              </c:layout>
              <c:dLblPos val="r"/>
              <c:showLegendKey val="0"/>
              <c:showVal val="1"/>
              <c:showCatName val="0"/>
              <c:showSerName val="0"/>
              <c:showPercent val="0"/>
              <c:showBubbleSize val="0"/>
            </c:dLbl>
            <c:dLbl>
              <c:idx val="3"/>
              <c:layout>
                <c:manualLayout>
                  <c:x val="-9.0533933568143977E-17"/>
                  <c:y val="4.2635658914728813E-2"/>
                </c:manualLayout>
              </c:layout>
              <c:dLblPos val="r"/>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жкх!$C$6:$G$6</c:f>
              <c:numCache>
                <c:formatCode>General</c:formatCode>
                <c:ptCount val="5"/>
                <c:pt idx="0">
                  <c:v>2012</c:v>
                </c:pt>
                <c:pt idx="1">
                  <c:v>2013</c:v>
                </c:pt>
                <c:pt idx="2">
                  <c:v>2014</c:v>
                </c:pt>
                <c:pt idx="3">
                  <c:v>2015</c:v>
                </c:pt>
                <c:pt idx="4">
                  <c:v>2016</c:v>
                </c:pt>
              </c:numCache>
            </c:numRef>
          </c:cat>
          <c:val>
            <c:numRef>
              <c:f>жкх!$C$8:$G$8</c:f>
              <c:numCache>
                <c:formatCode>General</c:formatCode>
                <c:ptCount val="5"/>
                <c:pt idx="0">
                  <c:v>21</c:v>
                </c:pt>
                <c:pt idx="1">
                  <c:v>24</c:v>
                </c:pt>
                <c:pt idx="2">
                  <c:v>24.6</c:v>
                </c:pt>
                <c:pt idx="3" formatCode="0.0">
                  <c:v>25</c:v>
                </c:pt>
                <c:pt idx="4">
                  <c:v>25.5</c:v>
                </c:pt>
              </c:numCache>
            </c:numRef>
          </c:val>
          <c:smooth val="0"/>
        </c:ser>
        <c:dLbls>
          <c:showLegendKey val="0"/>
          <c:showVal val="0"/>
          <c:showCatName val="0"/>
          <c:showSerName val="0"/>
          <c:showPercent val="0"/>
          <c:showBubbleSize val="0"/>
        </c:dLbls>
        <c:marker val="1"/>
        <c:smooth val="0"/>
        <c:axId val="278328064"/>
        <c:axId val="278329600"/>
      </c:lineChart>
      <c:catAx>
        <c:axId val="278308352"/>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278309888"/>
        <c:crosses val="autoZero"/>
        <c:auto val="1"/>
        <c:lblAlgn val="ctr"/>
        <c:lblOffset val="100"/>
        <c:noMultiLvlLbl val="0"/>
      </c:catAx>
      <c:valAx>
        <c:axId val="278309888"/>
        <c:scaling>
          <c:orientation val="minMax"/>
        </c:scaling>
        <c:delete val="0"/>
        <c:axPos val="l"/>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78308352"/>
        <c:crosses val="autoZero"/>
        <c:crossBetween val="between"/>
      </c:valAx>
      <c:catAx>
        <c:axId val="278328064"/>
        <c:scaling>
          <c:orientation val="minMax"/>
        </c:scaling>
        <c:delete val="1"/>
        <c:axPos val="b"/>
        <c:numFmt formatCode="General" sourceLinked="1"/>
        <c:majorTickMark val="out"/>
        <c:minorTickMark val="none"/>
        <c:tickLblPos val="none"/>
        <c:crossAx val="278329600"/>
        <c:crosses val="autoZero"/>
        <c:auto val="1"/>
        <c:lblAlgn val="ctr"/>
        <c:lblOffset val="100"/>
        <c:noMultiLvlLbl val="0"/>
      </c:catAx>
      <c:valAx>
        <c:axId val="278329600"/>
        <c:scaling>
          <c:orientation val="minMax"/>
        </c:scaling>
        <c:delete val="0"/>
        <c:axPos val="r"/>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78328064"/>
        <c:crosses val="max"/>
        <c:crossBetween val="between"/>
      </c:valAx>
    </c:plotArea>
    <c:legend>
      <c:legendPos val="b"/>
      <c:layout>
        <c:manualLayout>
          <c:xMode val="edge"/>
          <c:yMode val="edge"/>
          <c:x val="1.7351803246816448E-2"/>
          <c:y val="0.82647536326000492"/>
          <c:w val="0.96776552930883664"/>
          <c:h val="0.16181670590145303"/>
        </c:manualLayout>
      </c:layout>
      <c:overlay val="0"/>
      <c:txPr>
        <a:bodyPr/>
        <a:lstStyle/>
        <a:p>
          <a:pPr>
            <a:defRPr sz="800" baseline="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803336476025132"/>
          <c:y val="2.2537529886724483E-2"/>
          <c:w val="0.71196663523974901"/>
          <c:h val="0.51262425732628036"/>
        </c:manualLayout>
      </c:layout>
      <c:barChart>
        <c:barDir val="col"/>
        <c:grouping val="clustered"/>
        <c:varyColors val="0"/>
        <c:ser>
          <c:idx val="0"/>
          <c:order val="0"/>
          <c:tx>
            <c:strRef>
              <c:f>жкх1!$K$4</c:f>
              <c:strCache>
                <c:ptCount val="1"/>
                <c:pt idx="0">
                  <c:v> водопровод</c:v>
                </c:pt>
              </c:strCache>
            </c:strRef>
          </c:tx>
          <c:spPr>
            <a:solidFill>
              <a:sysClr val="window" lastClr="FFFFFF">
                <a:lumMod val="50000"/>
              </a:sysClr>
            </a:solidFill>
            <a:ln>
              <a:solidFill>
                <a:schemeClr val="tx1"/>
              </a:solidFill>
            </a:ln>
          </c:spPr>
          <c:invertIfNegative val="0"/>
          <c:cat>
            <c:numRef>
              <c:f>жкх1!$L$3:$P$3</c:f>
              <c:numCache>
                <c:formatCode>General</c:formatCode>
                <c:ptCount val="5"/>
                <c:pt idx="0">
                  <c:v>2012</c:v>
                </c:pt>
                <c:pt idx="1">
                  <c:v>2013</c:v>
                </c:pt>
                <c:pt idx="2">
                  <c:v>2014</c:v>
                </c:pt>
                <c:pt idx="3">
                  <c:v>2015</c:v>
                </c:pt>
                <c:pt idx="4">
                  <c:v>2016</c:v>
                </c:pt>
              </c:numCache>
            </c:numRef>
          </c:cat>
          <c:val>
            <c:numRef>
              <c:f>жкх1!$L$4:$P$4</c:f>
              <c:numCache>
                <c:formatCode>General</c:formatCode>
                <c:ptCount val="5"/>
                <c:pt idx="0">
                  <c:v>28</c:v>
                </c:pt>
                <c:pt idx="1">
                  <c:v>28</c:v>
                </c:pt>
                <c:pt idx="2">
                  <c:v>47</c:v>
                </c:pt>
                <c:pt idx="3" formatCode="0.0">
                  <c:v>47.575647101713237</c:v>
                </c:pt>
                <c:pt idx="4" formatCode="0.0">
                  <c:v>48.065099457504495</c:v>
                </c:pt>
              </c:numCache>
            </c:numRef>
          </c:val>
        </c:ser>
        <c:ser>
          <c:idx val="1"/>
          <c:order val="1"/>
          <c:tx>
            <c:strRef>
              <c:f>жкх1!$K$5</c:f>
              <c:strCache>
                <c:ptCount val="1"/>
                <c:pt idx="0">
                  <c:v>канализация</c:v>
                </c:pt>
              </c:strCache>
            </c:strRef>
          </c:tx>
          <c:spPr>
            <a:solidFill>
              <a:schemeClr val="tx2">
                <a:lumMod val="20000"/>
                <a:lumOff val="80000"/>
              </a:schemeClr>
            </a:solidFill>
            <a:ln>
              <a:solidFill>
                <a:schemeClr val="tx1"/>
              </a:solidFill>
            </a:ln>
          </c:spPr>
          <c:invertIfNegative val="0"/>
          <c:cat>
            <c:numRef>
              <c:f>жкх1!$L$3:$P$3</c:f>
              <c:numCache>
                <c:formatCode>General</c:formatCode>
                <c:ptCount val="5"/>
                <c:pt idx="0">
                  <c:v>2012</c:v>
                </c:pt>
                <c:pt idx="1">
                  <c:v>2013</c:v>
                </c:pt>
                <c:pt idx="2">
                  <c:v>2014</c:v>
                </c:pt>
                <c:pt idx="3">
                  <c:v>2015</c:v>
                </c:pt>
                <c:pt idx="4">
                  <c:v>2016</c:v>
                </c:pt>
              </c:numCache>
            </c:numRef>
          </c:cat>
          <c:val>
            <c:numRef>
              <c:f>жкх1!$L$5:$P$5</c:f>
              <c:numCache>
                <c:formatCode>General</c:formatCode>
                <c:ptCount val="5"/>
                <c:pt idx="0">
                  <c:v>28</c:v>
                </c:pt>
                <c:pt idx="1">
                  <c:v>28</c:v>
                </c:pt>
                <c:pt idx="2">
                  <c:v>37</c:v>
                </c:pt>
                <c:pt idx="3" formatCode="0.0">
                  <c:v>37.112650382792545</c:v>
                </c:pt>
                <c:pt idx="4" formatCode="0.0">
                  <c:v>36.817359855334338</c:v>
                </c:pt>
              </c:numCache>
            </c:numRef>
          </c:val>
        </c:ser>
        <c:ser>
          <c:idx val="2"/>
          <c:order val="2"/>
          <c:tx>
            <c:strRef>
              <c:f>жкх1!$K$6</c:f>
              <c:strCache>
                <c:ptCount val="1"/>
                <c:pt idx="0">
                  <c:v>центральное отопление</c:v>
                </c:pt>
              </c:strCache>
            </c:strRef>
          </c:tx>
          <c:spPr>
            <a:solidFill>
              <a:schemeClr val="tx2">
                <a:lumMod val="60000"/>
                <a:lumOff val="40000"/>
              </a:schemeClr>
            </a:solidFill>
            <a:ln>
              <a:solidFill>
                <a:schemeClr val="tx1"/>
              </a:solidFill>
            </a:ln>
          </c:spPr>
          <c:invertIfNegative val="0"/>
          <c:cat>
            <c:numRef>
              <c:f>жкх1!$L$3:$P$3</c:f>
              <c:numCache>
                <c:formatCode>General</c:formatCode>
                <c:ptCount val="5"/>
                <c:pt idx="0">
                  <c:v>2012</c:v>
                </c:pt>
                <c:pt idx="1">
                  <c:v>2013</c:v>
                </c:pt>
                <c:pt idx="2">
                  <c:v>2014</c:v>
                </c:pt>
                <c:pt idx="3">
                  <c:v>2015</c:v>
                </c:pt>
                <c:pt idx="4">
                  <c:v>2016</c:v>
                </c:pt>
              </c:numCache>
            </c:numRef>
          </c:cat>
          <c:val>
            <c:numRef>
              <c:f>жкх1!$L$6:$P$6</c:f>
              <c:numCache>
                <c:formatCode>General</c:formatCode>
                <c:ptCount val="5"/>
                <c:pt idx="0">
                  <c:v>14</c:v>
                </c:pt>
                <c:pt idx="1">
                  <c:v>14</c:v>
                </c:pt>
                <c:pt idx="2">
                  <c:v>6</c:v>
                </c:pt>
                <c:pt idx="3" formatCode="0.0">
                  <c:v>5.760116660590576</c:v>
                </c:pt>
                <c:pt idx="4" formatCode="0.0">
                  <c:v>5.7142857142857055</c:v>
                </c:pt>
              </c:numCache>
            </c:numRef>
          </c:val>
        </c:ser>
        <c:ser>
          <c:idx val="3"/>
          <c:order val="3"/>
          <c:tx>
            <c:strRef>
              <c:f>жкх1!$K$7</c:f>
              <c:strCache>
                <c:ptCount val="1"/>
                <c:pt idx="0">
                  <c:v>ванна (душ)</c:v>
                </c:pt>
              </c:strCache>
            </c:strRef>
          </c:tx>
          <c:spPr>
            <a:solidFill>
              <a:srgbClr val="C00000"/>
            </a:solidFill>
            <a:ln>
              <a:solidFill>
                <a:prstClr val="black"/>
              </a:solidFill>
            </a:ln>
          </c:spPr>
          <c:invertIfNegative val="0"/>
          <c:cat>
            <c:numRef>
              <c:f>жкх1!$L$3:$P$3</c:f>
              <c:numCache>
                <c:formatCode>General</c:formatCode>
                <c:ptCount val="5"/>
                <c:pt idx="0">
                  <c:v>2012</c:v>
                </c:pt>
                <c:pt idx="1">
                  <c:v>2013</c:v>
                </c:pt>
                <c:pt idx="2">
                  <c:v>2014</c:v>
                </c:pt>
                <c:pt idx="3">
                  <c:v>2015</c:v>
                </c:pt>
                <c:pt idx="4">
                  <c:v>2016</c:v>
                </c:pt>
              </c:numCache>
            </c:numRef>
          </c:cat>
          <c:val>
            <c:numRef>
              <c:f>жкх1!$L$7:$P$7</c:f>
              <c:numCache>
                <c:formatCode>General</c:formatCode>
                <c:ptCount val="5"/>
                <c:pt idx="0">
                  <c:v>19.399999999999999</c:v>
                </c:pt>
                <c:pt idx="1">
                  <c:v>19.399999999999999</c:v>
                </c:pt>
                <c:pt idx="2">
                  <c:v>7.2</c:v>
                </c:pt>
                <c:pt idx="3" formatCode="0.0">
                  <c:v>7.5829383886255846</c:v>
                </c:pt>
                <c:pt idx="4" formatCode="0.0">
                  <c:v>7.5949367088607396</c:v>
                </c:pt>
              </c:numCache>
            </c:numRef>
          </c:val>
        </c:ser>
        <c:ser>
          <c:idx val="4"/>
          <c:order val="4"/>
          <c:tx>
            <c:strRef>
              <c:f>жкх1!$K$8</c:f>
              <c:strCache>
                <c:ptCount val="1"/>
                <c:pt idx="0">
                  <c:v>газ</c:v>
                </c:pt>
              </c:strCache>
            </c:strRef>
          </c:tx>
          <c:spPr>
            <a:solidFill>
              <a:sysClr val="window" lastClr="FFFFFF">
                <a:lumMod val="75000"/>
              </a:sysClr>
            </a:solidFill>
            <a:ln>
              <a:solidFill>
                <a:prstClr val="black"/>
              </a:solidFill>
            </a:ln>
          </c:spPr>
          <c:invertIfNegative val="0"/>
          <c:cat>
            <c:numRef>
              <c:f>жкх1!$L$3:$P$3</c:f>
              <c:numCache>
                <c:formatCode>General</c:formatCode>
                <c:ptCount val="5"/>
                <c:pt idx="0">
                  <c:v>2012</c:v>
                </c:pt>
                <c:pt idx="1">
                  <c:v>2013</c:v>
                </c:pt>
                <c:pt idx="2">
                  <c:v>2014</c:v>
                </c:pt>
                <c:pt idx="3">
                  <c:v>2015</c:v>
                </c:pt>
                <c:pt idx="4">
                  <c:v>2016</c:v>
                </c:pt>
              </c:numCache>
            </c:numRef>
          </c:cat>
          <c:val>
            <c:numRef>
              <c:f>жкх1!$L$8:$P$8</c:f>
              <c:numCache>
                <c:formatCode>General</c:formatCode>
                <c:ptCount val="5"/>
                <c:pt idx="0">
                  <c:v>93.4</c:v>
                </c:pt>
                <c:pt idx="1">
                  <c:v>93.4</c:v>
                </c:pt>
                <c:pt idx="2">
                  <c:v>98.1</c:v>
                </c:pt>
                <c:pt idx="3" formatCode="0.0">
                  <c:v>98.213634706525681</c:v>
                </c:pt>
                <c:pt idx="4" formatCode="0.0">
                  <c:v>98.300180831826054</c:v>
                </c:pt>
              </c:numCache>
            </c:numRef>
          </c:val>
        </c:ser>
        <c:ser>
          <c:idx val="5"/>
          <c:order val="5"/>
          <c:tx>
            <c:strRef>
              <c:f>жкх1!$K$9</c:f>
              <c:strCache>
                <c:ptCount val="1"/>
                <c:pt idx="0">
                  <c:v>электроплиты</c:v>
                </c:pt>
              </c:strCache>
            </c:strRef>
          </c:tx>
          <c:invertIfNegative val="0"/>
          <c:cat>
            <c:numRef>
              <c:f>жкх1!$L$3:$P$3</c:f>
              <c:numCache>
                <c:formatCode>General</c:formatCode>
                <c:ptCount val="5"/>
                <c:pt idx="0">
                  <c:v>2012</c:v>
                </c:pt>
                <c:pt idx="1">
                  <c:v>2013</c:v>
                </c:pt>
                <c:pt idx="2">
                  <c:v>2014</c:v>
                </c:pt>
                <c:pt idx="3">
                  <c:v>2015</c:v>
                </c:pt>
                <c:pt idx="4">
                  <c:v>2016</c:v>
                </c:pt>
              </c:numCache>
            </c:numRef>
          </c:cat>
          <c:val>
            <c:numRef>
              <c:f>жкх1!$L$9:$P$9</c:f>
              <c:numCache>
                <c:formatCode>General</c:formatCode>
                <c:ptCount val="5"/>
                <c:pt idx="0">
                  <c:v>0.70000000000000062</c:v>
                </c:pt>
                <c:pt idx="1">
                  <c:v>0.70000000000000062</c:v>
                </c:pt>
                <c:pt idx="2">
                  <c:v>0.70000000000000062</c:v>
                </c:pt>
                <c:pt idx="3">
                  <c:v>0.70000000000000062</c:v>
                </c:pt>
                <c:pt idx="4">
                  <c:v>0.70000000000000062</c:v>
                </c:pt>
              </c:numCache>
            </c:numRef>
          </c:val>
        </c:ser>
        <c:ser>
          <c:idx val="6"/>
          <c:order val="6"/>
          <c:tx>
            <c:strRef>
              <c:f>жкх1!$K$10</c:f>
              <c:strCache>
                <c:ptCount val="1"/>
                <c:pt idx="0">
                  <c:v>горячее водоснабжение</c:v>
                </c:pt>
              </c:strCache>
            </c:strRef>
          </c:tx>
          <c:spPr>
            <a:solidFill>
              <a:schemeClr val="accent1"/>
            </a:solidFill>
            <a:ln>
              <a:solidFill>
                <a:prstClr val="black"/>
              </a:solidFill>
            </a:ln>
          </c:spPr>
          <c:invertIfNegative val="0"/>
          <c:cat>
            <c:numRef>
              <c:f>жкх1!$L$3:$P$3</c:f>
              <c:numCache>
                <c:formatCode>General</c:formatCode>
                <c:ptCount val="5"/>
                <c:pt idx="0">
                  <c:v>2012</c:v>
                </c:pt>
                <c:pt idx="1">
                  <c:v>2013</c:v>
                </c:pt>
                <c:pt idx="2">
                  <c:v>2014</c:v>
                </c:pt>
                <c:pt idx="3">
                  <c:v>2015</c:v>
                </c:pt>
                <c:pt idx="4">
                  <c:v>2016</c:v>
                </c:pt>
              </c:numCache>
            </c:numRef>
          </c:cat>
          <c:val>
            <c:numRef>
              <c:f>жкх1!$L$10:$P$10</c:f>
              <c:numCache>
                <c:formatCode>General</c:formatCode>
                <c:ptCount val="5"/>
                <c:pt idx="0">
                  <c:v>23.2</c:v>
                </c:pt>
                <c:pt idx="1">
                  <c:v>23.2</c:v>
                </c:pt>
                <c:pt idx="2">
                  <c:v>9.4</c:v>
                </c:pt>
                <c:pt idx="3" formatCode="0.0">
                  <c:v>9.9890630696317881</c:v>
                </c:pt>
                <c:pt idx="4" formatCode="0.0">
                  <c:v>11.2115732368897</c:v>
                </c:pt>
              </c:numCache>
            </c:numRef>
          </c:val>
        </c:ser>
        <c:dLbls>
          <c:showLegendKey val="0"/>
          <c:showVal val="0"/>
          <c:showCatName val="0"/>
          <c:showSerName val="0"/>
          <c:showPercent val="0"/>
          <c:showBubbleSize val="0"/>
        </c:dLbls>
        <c:gapWidth val="150"/>
        <c:axId val="282376832"/>
        <c:axId val="282386816"/>
      </c:barChart>
      <c:catAx>
        <c:axId val="282376832"/>
        <c:scaling>
          <c:orientation val="minMax"/>
        </c:scaling>
        <c:delete val="0"/>
        <c:axPos val="b"/>
        <c:numFmt formatCode="General" sourceLinked="1"/>
        <c:majorTickMark val="none"/>
        <c:minorTickMark val="none"/>
        <c:tickLblPos val="nextTo"/>
        <c:crossAx val="282386816"/>
        <c:crosses val="autoZero"/>
        <c:auto val="1"/>
        <c:lblAlgn val="ctr"/>
        <c:lblOffset val="100"/>
        <c:noMultiLvlLbl val="0"/>
      </c:catAx>
      <c:valAx>
        <c:axId val="282386816"/>
        <c:scaling>
          <c:orientation val="minMax"/>
        </c:scaling>
        <c:delete val="0"/>
        <c:axPos val="l"/>
        <c:numFmt formatCode="General" sourceLinked="1"/>
        <c:majorTickMark val="none"/>
        <c:minorTickMark val="none"/>
        <c:tickLblPos val="nextTo"/>
        <c:crossAx val="282376832"/>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b="0">
          <a:latin typeface="Times New Roman" pitchFamily="18" charset="0"/>
          <a:cs typeface="Times New Roman"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рейтинг!$J$3</c:f>
              <c:strCache>
                <c:ptCount val="1"/>
                <c:pt idx="0">
                  <c:v>Индекс промышленного производства по крупным и средним предприятиям, %</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рейтинг!$I$4:$I$8</c:f>
              <c:numCache>
                <c:formatCode>General</c:formatCode>
                <c:ptCount val="5"/>
                <c:pt idx="0">
                  <c:v>2013</c:v>
                </c:pt>
                <c:pt idx="1">
                  <c:v>2014</c:v>
                </c:pt>
                <c:pt idx="2">
                  <c:v>2015</c:v>
                </c:pt>
                <c:pt idx="3">
                  <c:v>2016</c:v>
                </c:pt>
                <c:pt idx="4">
                  <c:v>2017</c:v>
                </c:pt>
              </c:numCache>
            </c:numRef>
          </c:cat>
          <c:val>
            <c:numRef>
              <c:f>рейтинг!$J$4:$J$8</c:f>
              <c:numCache>
                <c:formatCode>General</c:formatCode>
                <c:ptCount val="5"/>
                <c:pt idx="0">
                  <c:v>9</c:v>
                </c:pt>
                <c:pt idx="1">
                  <c:v>4</c:v>
                </c:pt>
                <c:pt idx="2">
                  <c:v>6</c:v>
                </c:pt>
                <c:pt idx="3">
                  <c:v>14</c:v>
                </c:pt>
                <c:pt idx="4">
                  <c:v>19</c:v>
                </c:pt>
              </c:numCache>
            </c:numRef>
          </c:val>
        </c:ser>
        <c:ser>
          <c:idx val="1"/>
          <c:order val="1"/>
          <c:tx>
            <c:strRef>
              <c:f>рейтинг!$K$3</c:f>
              <c:strCache>
                <c:ptCount val="1"/>
                <c:pt idx="0">
                  <c:v>Отгружено товаров собственного производства (С, Д, Е) на душу населения, тыс. руб.</c:v>
                </c:pt>
              </c:strCache>
            </c:strRef>
          </c:tx>
          <c:spPr>
            <a:solidFill>
              <a:srgbClr val="FF0000"/>
            </a:solidFill>
            <a:ln>
              <a:solidFill>
                <a:srgbClr val="FF0000"/>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рейтинг!$I$4:$I$8</c:f>
              <c:numCache>
                <c:formatCode>General</c:formatCode>
                <c:ptCount val="5"/>
                <c:pt idx="0">
                  <c:v>2013</c:v>
                </c:pt>
                <c:pt idx="1">
                  <c:v>2014</c:v>
                </c:pt>
                <c:pt idx="2">
                  <c:v>2015</c:v>
                </c:pt>
                <c:pt idx="3">
                  <c:v>2016</c:v>
                </c:pt>
                <c:pt idx="4">
                  <c:v>2017</c:v>
                </c:pt>
              </c:numCache>
            </c:numRef>
          </c:cat>
          <c:val>
            <c:numRef>
              <c:f>рейтинг!$K$4:$K$8</c:f>
              <c:numCache>
                <c:formatCode>General</c:formatCode>
                <c:ptCount val="5"/>
                <c:pt idx="0">
                  <c:v>19</c:v>
                </c:pt>
                <c:pt idx="1">
                  <c:v>19</c:v>
                </c:pt>
                <c:pt idx="2">
                  <c:v>19</c:v>
                </c:pt>
                <c:pt idx="3">
                  <c:v>19</c:v>
                </c:pt>
                <c:pt idx="4">
                  <c:v>19</c:v>
                </c:pt>
              </c:numCache>
            </c:numRef>
          </c:val>
        </c:ser>
        <c:ser>
          <c:idx val="2"/>
          <c:order val="2"/>
          <c:tx>
            <c:strRef>
              <c:f>рейтинг!$L$3</c:f>
              <c:strCache>
                <c:ptCount val="1"/>
                <c:pt idx="0">
                  <c:v>Инвестиции в основной  капитал на душу населения, рублей</c:v>
                </c:pt>
              </c:strCache>
            </c:strRef>
          </c:tx>
          <c:spPr>
            <a:solidFill>
              <a:schemeClr val="bg1">
                <a:lumMod val="50000"/>
              </a:schemeClr>
            </a:solidFill>
            <a:ln>
              <a:solidFill>
                <a:schemeClr val="bg1">
                  <a:lumMod val="50000"/>
                </a:schemeClr>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рейтинг!$I$4:$I$8</c:f>
              <c:numCache>
                <c:formatCode>General</c:formatCode>
                <c:ptCount val="5"/>
                <c:pt idx="0">
                  <c:v>2013</c:v>
                </c:pt>
                <c:pt idx="1">
                  <c:v>2014</c:v>
                </c:pt>
                <c:pt idx="2">
                  <c:v>2015</c:v>
                </c:pt>
                <c:pt idx="3">
                  <c:v>2016</c:v>
                </c:pt>
                <c:pt idx="4">
                  <c:v>2017</c:v>
                </c:pt>
              </c:numCache>
            </c:numRef>
          </c:cat>
          <c:val>
            <c:numRef>
              <c:f>рейтинг!$L$4:$L$8</c:f>
              <c:numCache>
                <c:formatCode>General</c:formatCode>
                <c:ptCount val="5"/>
                <c:pt idx="0">
                  <c:v>12</c:v>
                </c:pt>
                <c:pt idx="1">
                  <c:v>14</c:v>
                </c:pt>
                <c:pt idx="2">
                  <c:v>10</c:v>
                </c:pt>
                <c:pt idx="3">
                  <c:v>12</c:v>
                </c:pt>
                <c:pt idx="4">
                  <c:v>7</c:v>
                </c:pt>
              </c:numCache>
            </c:numRef>
          </c:val>
        </c:ser>
        <c:ser>
          <c:idx val="3"/>
          <c:order val="3"/>
          <c:tx>
            <c:strRef>
              <c:f>рейтинг!$M$3</c:f>
              <c:strCache>
                <c:ptCount val="1"/>
                <c:pt idx="0">
                  <c:v>Бюджетная  обеспеченность за счет налоговых и неналоговых доходов на душу населения, рублей</c:v>
                </c:pt>
              </c:strCache>
            </c:strRef>
          </c:tx>
          <c:spPr>
            <a:solidFill>
              <a:schemeClr val="accent1">
                <a:lumMod val="50000"/>
              </a:schemeClr>
            </a:solidFill>
            <a:ln>
              <a:solidFill>
                <a:schemeClr val="tx2"/>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рейтинг!$I$4:$I$8</c:f>
              <c:numCache>
                <c:formatCode>General</c:formatCode>
                <c:ptCount val="5"/>
                <c:pt idx="0">
                  <c:v>2013</c:v>
                </c:pt>
                <c:pt idx="1">
                  <c:v>2014</c:v>
                </c:pt>
                <c:pt idx="2">
                  <c:v>2015</c:v>
                </c:pt>
                <c:pt idx="3">
                  <c:v>2016</c:v>
                </c:pt>
                <c:pt idx="4">
                  <c:v>2017</c:v>
                </c:pt>
              </c:numCache>
            </c:numRef>
          </c:cat>
          <c:val>
            <c:numRef>
              <c:f>рейтинг!$M$4:$M$8</c:f>
              <c:numCache>
                <c:formatCode>General</c:formatCode>
                <c:ptCount val="5"/>
                <c:pt idx="0">
                  <c:v>25</c:v>
                </c:pt>
                <c:pt idx="1">
                  <c:v>23</c:v>
                </c:pt>
                <c:pt idx="2">
                  <c:v>20</c:v>
                </c:pt>
                <c:pt idx="3">
                  <c:v>23</c:v>
                </c:pt>
                <c:pt idx="4">
                  <c:v>27</c:v>
                </c:pt>
              </c:numCache>
            </c:numRef>
          </c:val>
        </c:ser>
        <c:dLbls>
          <c:showLegendKey val="0"/>
          <c:showVal val="0"/>
          <c:showCatName val="0"/>
          <c:showSerName val="0"/>
          <c:showPercent val="0"/>
          <c:showBubbleSize val="0"/>
        </c:dLbls>
        <c:gapWidth val="271"/>
        <c:overlap val="-1"/>
        <c:axId val="282494080"/>
        <c:axId val="282495616"/>
      </c:barChart>
      <c:catAx>
        <c:axId val="282494080"/>
        <c:scaling>
          <c:orientation val="minMax"/>
        </c:scaling>
        <c:delete val="0"/>
        <c:axPos val="b"/>
        <c:numFmt formatCode="General" sourceLinked="1"/>
        <c:majorTickMark val="none"/>
        <c:minorTickMark val="none"/>
        <c:tickLblPos val="nextTo"/>
        <c:txPr>
          <a:bodyPr/>
          <a:lstStyle/>
          <a:p>
            <a:pPr>
              <a:defRPr sz="1200" baseline="0">
                <a:latin typeface="Times New Roman" pitchFamily="18" charset="0"/>
              </a:defRPr>
            </a:pPr>
            <a:endParaRPr lang="ru-RU"/>
          </a:p>
        </c:txPr>
        <c:crossAx val="282495616"/>
        <c:crosses val="autoZero"/>
        <c:auto val="1"/>
        <c:lblAlgn val="ctr"/>
        <c:lblOffset val="100"/>
        <c:noMultiLvlLbl val="0"/>
      </c:catAx>
      <c:valAx>
        <c:axId val="282495616"/>
        <c:scaling>
          <c:orientation val="minMax"/>
        </c:scaling>
        <c:delete val="1"/>
        <c:axPos val="l"/>
        <c:numFmt formatCode="General" sourceLinked="1"/>
        <c:majorTickMark val="out"/>
        <c:minorTickMark val="none"/>
        <c:tickLblPos val="none"/>
        <c:crossAx val="282494080"/>
        <c:crosses val="autoZero"/>
        <c:crossBetween val="between"/>
      </c:valAx>
    </c:plotArea>
    <c:legend>
      <c:legendPos val="b"/>
      <c:layout>
        <c:manualLayout>
          <c:xMode val="edge"/>
          <c:yMode val="edge"/>
          <c:x val="7.7248027144779283E-2"/>
          <c:y val="0.65069797968685561"/>
          <c:w val="0.84550377885868055"/>
          <c:h val="0.31732906490182927"/>
        </c:manualLayout>
      </c:layout>
      <c:overlay val="0"/>
      <c:txPr>
        <a:bodyPr/>
        <a:lstStyle/>
        <a:p>
          <a:pPr>
            <a:defRPr baseline="0">
              <a:latin typeface="Times New Roman" pitchFamily="18" charset="0"/>
            </a:defRPr>
          </a:pPr>
          <a:endParaRPr lang="ru-RU"/>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baseline="0">
                <a:solidFill>
                  <a:sysClr val="windowText" lastClr="000000"/>
                </a:solidFill>
              </a:defRPr>
            </a:pPr>
            <a:r>
              <a:rPr lang="ru-RU" sz="1200" b="1" i="0" u="none" strike="noStrike" baseline="0">
                <a:solidFill>
                  <a:sysClr val="windowText" lastClr="000000"/>
                </a:solidFill>
                <a:latin typeface="Times New Roman" pitchFamily="18" charset="0"/>
              </a:rPr>
              <a:t>Сальдированный финансовый результат по всем видам деятельности организаций Камышлинского района </a:t>
            </a:r>
          </a:p>
          <a:p>
            <a:pPr algn="ctr">
              <a:defRPr baseline="0">
                <a:solidFill>
                  <a:sysClr val="windowText" lastClr="000000"/>
                </a:solidFill>
              </a:defRPr>
            </a:pPr>
            <a:r>
              <a:rPr lang="ru-RU" sz="1200" b="1" i="0" u="none" strike="noStrike" baseline="0">
                <a:solidFill>
                  <a:sysClr val="windowText" lastClr="000000"/>
                </a:solidFill>
                <a:latin typeface="Times New Roman" pitchFamily="18" charset="0"/>
              </a:rPr>
              <a:t>в 2012 - 2016 гг., млн. рублей </a:t>
            </a:r>
            <a:endParaRPr lang="ru-RU" baseline="0">
              <a:solidFill>
                <a:sysClr val="windowText" lastClr="000000"/>
              </a:solidFill>
            </a:endParaRPr>
          </a:p>
        </c:rich>
      </c:tx>
      <c:layout>
        <c:manualLayout>
          <c:xMode val="edge"/>
          <c:yMode val="edge"/>
          <c:x val="0.1273661321531889"/>
          <c:y val="8.3857442348009847E-3"/>
        </c:manualLayout>
      </c:layout>
      <c:overlay val="0"/>
    </c:title>
    <c:autoTitleDeleted val="0"/>
    <c:plotArea>
      <c:layout/>
      <c:scatterChart>
        <c:scatterStyle val="lineMarker"/>
        <c:varyColors val="0"/>
        <c:ser>
          <c:idx val="0"/>
          <c:order val="0"/>
          <c:xVal>
            <c:numRef>
              <c:f>фин_результ!$B$5:$B$9</c:f>
              <c:numCache>
                <c:formatCode>General</c:formatCode>
                <c:ptCount val="5"/>
                <c:pt idx="0">
                  <c:v>2012</c:v>
                </c:pt>
                <c:pt idx="1">
                  <c:v>2013</c:v>
                </c:pt>
                <c:pt idx="2">
                  <c:v>2014</c:v>
                </c:pt>
                <c:pt idx="3">
                  <c:v>2015</c:v>
                </c:pt>
                <c:pt idx="4">
                  <c:v>2016</c:v>
                </c:pt>
              </c:numCache>
            </c:numRef>
          </c:xVal>
          <c:yVal>
            <c:numRef>
              <c:f>фин_результ!$C$5:$C$9</c:f>
              <c:numCache>
                <c:formatCode>General</c:formatCode>
                <c:ptCount val="5"/>
                <c:pt idx="0">
                  <c:v>8.3000000000000007</c:v>
                </c:pt>
                <c:pt idx="1">
                  <c:v>5.8</c:v>
                </c:pt>
                <c:pt idx="2">
                  <c:v>11.4</c:v>
                </c:pt>
                <c:pt idx="3">
                  <c:v>3.7</c:v>
                </c:pt>
                <c:pt idx="4">
                  <c:v>1.5</c:v>
                </c:pt>
              </c:numCache>
            </c:numRef>
          </c:yVal>
          <c:smooth val="0"/>
        </c:ser>
        <c:dLbls>
          <c:showLegendKey val="0"/>
          <c:showVal val="0"/>
          <c:showCatName val="0"/>
          <c:showSerName val="0"/>
          <c:showPercent val="0"/>
          <c:showBubbleSize val="0"/>
        </c:dLbls>
        <c:axId val="282523904"/>
        <c:axId val="282660864"/>
      </c:scatterChart>
      <c:valAx>
        <c:axId val="282523904"/>
        <c:scaling>
          <c:orientation val="minMax"/>
        </c:scaling>
        <c:delete val="0"/>
        <c:axPos val="b"/>
        <c:numFmt formatCode="#,##0" sourceLinked="0"/>
        <c:majorTickMark val="none"/>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82660864"/>
        <c:crosses val="autoZero"/>
        <c:crossBetween val="midCat"/>
      </c:valAx>
      <c:valAx>
        <c:axId val="282660864"/>
        <c:scaling>
          <c:orientation val="minMax"/>
        </c:scaling>
        <c:delete val="0"/>
        <c:axPos val="l"/>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82523904"/>
        <c:crosses val="autoZero"/>
        <c:crossBetween val="midCat"/>
      </c:valAx>
    </c:plotArea>
    <c:plotVisOnly val="1"/>
    <c:dispBlanksAs val="gap"/>
    <c:showDLblsOverMax val="0"/>
  </c:chart>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20886862826359"/>
          <c:y val="0.21243908592370345"/>
          <c:w val="0.49323187622286707"/>
          <c:h val="0.71743658518233"/>
        </c:manualLayout>
      </c:layout>
      <c:radarChart>
        <c:radarStyle val="marker"/>
        <c:varyColors val="0"/>
        <c:ser>
          <c:idx val="0"/>
          <c:order val="0"/>
          <c:tx>
            <c:strRef>
              <c:f>ипп!$C$2</c:f>
              <c:strCache>
                <c:ptCount val="1"/>
                <c:pt idx="0">
                  <c:v> Камышлинский район</c:v>
                </c:pt>
              </c:strCache>
            </c:strRef>
          </c:tx>
          <c:marker>
            <c:symbol val="none"/>
          </c:marker>
          <c:dLbls>
            <c:dLbl>
              <c:idx val="0"/>
              <c:layout>
                <c:manualLayout>
                  <c:x val="2.1750951604132679E-3"/>
                  <c:y val="1.6681637945614801E-2"/>
                </c:manualLayout>
              </c:layout>
              <c:showLegendKey val="0"/>
              <c:showVal val="1"/>
              <c:showCatName val="0"/>
              <c:showSerName val="0"/>
              <c:showPercent val="0"/>
              <c:showBubbleSize val="0"/>
            </c:dLbl>
            <c:dLbl>
              <c:idx val="1"/>
              <c:layout>
                <c:manualLayout>
                  <c:x val="-3.0451337461105472E-2"/>
                  <c:y val="-2.9629629629629752E-2"/>
                </c:manualLayout>
              </c:layout>
              <c:showLegendKey val="0"/>
              <c:showVal val="1"/>
              <c:showCatName val="0"/>
              <c:showSerName val="0"/>
              <c:showPercent val="0"/>
              <c:showBubbleSize val="0"/>
            </c:dLbl>
            <c:dLbl>
              <c:idx val="2"/>
              <c:layout>
                <c:manualLayout>
                  <c:x val="8.7003806416530716E-3"/>
                  <c:y val="-5.9146198610615222E-2"/>
                </c:manualLayout>
              </c:layout>
              <c:showLegendKey val="0"/>
              <c:showVal val="1"/>
              <c:showCatName val="0"/>
              <c:showSerName val="0"/>
              <c:showPercent val="0"/>
              <c:showBubbleSize val="0"/>
            </c:dLbl>
            <c:dLbl>
              <c:idx val="3"/>
              <c:layout>
                <c:manualLayout>
                  <c:x val="0"/>
                  <c:y val="-3.9833875180877158E-2"/>
                </c:manualLayout>
              </c:layout>
              <c:showLegendKey val="0"/>
              <c:showVal val="1"/>
              <c:showCatName val="0"/>
              <c:showSerName val="0"/>
              <c:showPercent val="0"/>
              <c:showBubbleSize val="0"/>
            </c:dLbl>
            <c:dLbl>
              <c:idx val="4"/>
              <c:layout>
                <c:manualLayout>
                  <c:x val="6.5252854812398392E-3"/>
                  <c:y val="0"/>
                </c:manualLayout>
              </c:layout>
              <c:showLegendKey val="0"/>
              <c:showVal val="1"/>
              <c:showCatName val="0"/>
              <c:showSerName val="0"/>
              <c:showPercent val="0"/>
              <c:showBubbleSize val="0"/>
            </c:dLbl>
            <c:txPr>
              <a:bodyPr/>
              <a:lstStyle/>
              <a:p>
                <a:pPr>
                  <a:defRPr b="1" i="0" baseline="0">
                    <a:latin typeface="Times New Roman" pitchFamily="18" charset="0"/>
                  </a:defRPr>
                </a:pPr>
                <a:endParaRPr lang="ru-RU"/>
              </a:p>
            </c:txPr>
            <c:showLegendKey val="0"/>
            <c:showVal val="1"/>
            <c:showCatName val="0"/>
            <c:showSerName val="0"/>
            <c:showPercent val="0"/>
            <c:showBubbleSize val="0"/>
            <c:showLeaderLines val="0"/>
          </c:dLbls>
          <c:cat>
            <c:numRef>
              <c:f>ипп!$B$3:$B$7</c:f>
              <c:numCache>
                <c:formatCode>General</c:formatCode>
                <c:ptCount val="5"/>
                <c:pt idx="0">
                  <c:v>2012</c:v>
                </c:pt>
                <c:pt idx="1">
                  <c:v>2013</c:v>
                </c:pt>
                <c:pt idx="2">
                  <c:v>2014</c:v>
                </c:pt>
                <c:pt idx="3">
                  <c:v>2015</c:v>
                </c:pt>
                <c:pt idx="4">
                  <c:v>2016</c:v>
                </c:pt>
              </c:numCache>
            </c:numRef>
          </c:cat>
          <c:val>
            <c:numRef>
              <c:f>ипп!$C$3:$C$7</c:f>
              <c:numCache>
                <c:formatCode>General</c:formatCode>
                <c:ptCount val="5"/>
                <c:pt idx="0">
                  <c:v>89.5</c:v>
                </c:pt>
                <c:pt idx="1">
                  <c:v>115.3</c:v>
                </c:pt>
                <c:pt idx="2">
                  <c:v>141</c:v>
                </c:pt>
                <c:pt idx="3">
                  <c:v>117.3</c:v>
                </c:pt>
                <c:pt idx="4">
                  <c:v>102.5</c:v>
                </c:pt>
              </c:numCache>
            </c:numRef>
          </c:val>
        </c:ser>
        <c:ser>
          <c:idx val="1"/>
          <c:order val="1"/>
          <c:tx>
            <c:strRef>
              <c:f>ипп!$D$2</c:f>
              <c:strCache>
                <c:ptCount val="1"/>
                <c:pt idx="0">
                  <c:v>Самарская область</c:v>
                </c:pt>
              </c:strCache>
            </c:strRef>
          </c:tx>
          <c:spPr>
            <a:ln>
              <a:solidFill>
                <a:srgbClr val="FF0000"/>
              </a:solidFill>
            </a:ln>
          </c:spPr>
          <c:marker>
            <c:symbol val="none"/>
          </c:marker>
          <c:cat>
            <c:numRef>
              <c:f>ипп!$B$3:$B$7</c:f>
              <c:numCache>
                <c:formatCode>General</c:formatCode>
                <c:ptCount val="5"/>
                <c:pt idx="0">
                  <c:v>2012</c:v>
                </c:pt>
                <c:pt idx="1">
                  <c:v>2013</c:v>
                </c:pt>
                <c:pt idx="2">
                  <c:v>2014</c:v>
                </c:pt>
                <c:pt idx="3">
                  <c:v>2015</c:v>
                </c:pt>
                <c:pt idx="4">
                  <c:v>2016</c:v>
                </c:pt>
              </c:numCache>
            </c:numRef>
          </c:cat>
          <c:val>
            <c:numRef>
              <c:f>ипп!$D$3:$D$7</c:f>
              <c:numCache>
                <c:formatCode>General</c:formatCode>
                <c:ptCount val="5"/>
                <c:pt idx="0">
                  <c:v>102.2</c:v>
                </c:pt>
                <c:pt idx="1">
                  <c:v>101</c:v>
                </c:pt>
                <c:pt idx="2">
                  <c:v>99.4</c:v>
                </c:pt>
                <c:pt idx="3">
                  <c:v>99.4</c:v>
                </c:pt>
                <c:pt idx="4">
                  <c:v>99.1</c:v>
                </c:pt>
              </c:numCache>
            </c:numRef>
          </c:val>
        </c:ser>
        <c:dLbls>
          <c:showLegendKey val="0"/>
          <c:showVal val="0"/>
          <c:showCatName val="0"/>
          <c:showSerName val="0"/>
          <c:showPercent val="0"/>
          <c:showBubbleSize val="0"/>
        </c:dLbls>
        <c:axId val="282690688"/>
        <c:axId val="282692224"/>
      </c:radarChart>
      <c:catAx>
        <c:axId val="282690688"/>
        <c:scaling>
          <c:orientation val="minMax"/>
        </c:scaling>
        <c:delete val="0"/>
        <c:axPos val="b"/>
        <c:majorGridlines/>
        <c:numFmt formatCode="General" sourceLinked="1"/>
        <c:majorTickMark val="out"/>
        <c:minorTickMark val="none"/>
        <c:tickLblPos val="nextTo"/>
        <c:txPr>
          <a:bodyPr/>
          <a:lstStyle/>
          <a:p>
            <a:pPr>
              <a:defRPr b="1" i="0" baseline="0">
                <a:latin typeface="Times New Roman" pitchFamily="18" charset="0"/>
              </a:defRPr>
            </a:pPr>
            <a:endParaRPr lang="ru-RU"/>
          </a:p>
        </c:txPr>
        <c:crossAx val="282692224"/>
        <c:crosses val="autoZero"/>
        <c:auto val="0"/>
        <c:lblAlgn val="ctr"/>
        <c:lblOffset val="100"/>
        <c:noMultiLvlLbl val="0"/>
      </c:catAx>
      <c:valAx>
        <c:axId val="282692224"/>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82690688"/>
        <c:crosses val="autoZero"/>
        <c:crossBetween val="between"/>
      </c:valAx>
    </c:plotArea>
    <c:legend>
      <c:legendPos val="b"/>
      <c:layout>
        <c:manualLayout>
          <c:xMode val="edge"/>
          <c:yMode val="edge"/>
          <c:x val="5.5670672744854285E-3"/>
          <c:y val="0.86531030754913663"/>
          <c:w val="0.96904593582149257"/>
          <c:h val="9.7430942151339725E-2"/>
        </c:manualLayout>
      </c:layout>
      <c:overlay val="0"/>
      <c:txPr>
        <a:bodyPr/>
        <a:lstStyle/>
        <a:p>
          <a:pPr>
            <a:defRPr baseline="0">
              <a:latin typeface="Times New Roman" pitchFamily="18" charset="0"/>
            </a:defRPr>
          </a:pPr>
          <a:endParaRPr lang="ru-RU"/>
        </a:p>
      </c:txPr>
    </c:legend>
    <c:plotVisOnly val="1"/>
    <c:dispBlanksAs val="gap"/>
    <c:showDLblsOverMax val="0"/>
  </c:chart>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602115092103435E-2"/>
          <c:y val="0.22755193736376172"/>
          <c:w val="0.92782795203616064"/>
          <c:h val="0.44262051989264223"/>
        </c:manualLayout>
      </c:layout>
      <c:barChart>
        <c:barDir val="col"/>
        <c:grouping val="clustered"/>
        <c:varyColors val="0"/>
        <c:ser>
          <c:idx val="0"/>
          <c:order val="0"/>
          <c:tx>
            <c:strRef>
              <c:f>рейтинг1!$C$2</c:f>
              <c:strCache>
                <c:ptCount val="1"/>
                <c:pt idx="0">
                  <c:v>Валовой сбор зерновых и зернобобовых культур, тыс. т.</c:v>
                </c:pt>
              </c:strCache>
            </c:strRef>
          </c:tx>
          <c:invertIfNegative val="0"/>
          <c:dLbls>
            <c:showLegendKey val="0"/>
            <c:showVal val="1"/>
            <c:showCatName val="0"/>
            <c:showSerName val="0"/>
            <c:showPercent val="0"/>
            <c:showBubbleSize val="0"/>
            <c:showLeaderLines val="0"/>
          </c:dLbls>
          <c:cat>
            <c:numRef>
              <c:f>рейтинг1!$B$3:$B$7</c:f>
              <c:numCache>
                <c:formatCode>General</c:formatCode>
                <c:ptCount val="5"/>
                <c:pt idx="0">
                  <c:v>2013</c:v>
                </c:pt>
                <c:pt idx="1">
                  <c:v>2014</c:v>
                </c:pt>
                <c:pt idx="2">
                  <c:v>2015</c:v>
                </c:pt>
                <c:pt idx="3">
                  <c:v>2016</c:v>
                </c:pt>
                <c:pt idx="4">
                  <c:v>2017</c:v>
                </c:pt>
              </c:numCache>
            </c:numRef>
          </c:cat>
          <c:val>
            <c:numRef>
              <c:f>рейтинг1!$C$3:$C$7</c:f>
              <c:numCache>
                <c:formatCode>General</c:formatCode>
                <c:ptCount val="5"/>
                <c:pt idx="0">
                  <c:v>27</c:v>
                </c:pt>
                <c:pt idx="1">
                  <c:v>27</c:v>
                </c:pt>
                <c:pt idx="2">
                  <c:v>27</c:v>
                </c:pt>
                <c:pt idx="3">
                  <c:v>27</c:v>
                </c:pt>
                <c:pt idx="4">
                  <c:v>27</c:v>
                </c:pt>
              </c:numCache>
            </c:numRef>
          </c:val>
        </c:ser>
        <c:ser>
          <c:idx val="1"/>
          <c:order val="1"/>
          <c:tx>
            <c:strRef>
              <c:f>рейтинг1!$D$2</c:f>
              <c:strCache>
                <c:ptCount val="1"/>
                <c:pt idx="0">
                  <c:v>Урожайность зерновых и зернобобовых культур с 1 га убранной площади, ц/га</c:v>
                </c:pt>
              </c:strCache>
            </c:strRef>
          </c:tx>
          <c:invertIfNegative val="0"/>
          <c:dLbls>
            <c:showLegendKey val="0"/>
            <c:showVal val="1"/>
            <c:showCatName val="0"/>
            <c:showSerName val="0"/>
            <c:showPercent val="0"/>
            <c:showBubbleSize val="0"/>
            <c:showLeaderLines val="0"/>
          </c:dLbls>
          <c:cat>
            <c:numRef>
              <c:f>рейтинг1!$B$3:$B$7</c:f>
              <c:numCache>
                <c:formatCode>General</c:formatCode>
                <c:ptCount val="5"/>
                <c:pt idx="0">
                  <c:v>2013</c:v>
                </c:pt>
                <c:pt idx="1">
                  <c:v>2014</c:v>
                </c:pt>
                <c:pt idx="2">
                  <c:v>2015</c:v>
                </c:pt>
                <c:pt idx="3">
                  <c:v>2016</c:v>
                </c:pt>
                <c:pt idx="4">
                  <c:v>2017</c:v>
                </c:pt>
              </c:numCache>
            </c:numRef>
          </c:cat>
          <c:val>
            <c:numRef>
              <c:f>рейтинг1!$D$3:$D$7</c:f>
              <c:numCache>
                <c:formatCode>General</c:formatCode>
                <c:ptCount val="5"/>
                <c:pt idx="0">
                  <c:v>21</c:v>
                </c:pt>
                <c:pt idx="1">
                  <c:v>25</c:v>
                </c:pt>
                <c:pt idx="2">
                  <c:v>15</c:v>
                </c:pt>
                <c:pt idx="3">
                  <c:v>23</c:v>
                </c:pt>
                <c:pt idx="4">
                  <c:v>26</c:v>
                </c:pt>
              </c:numCache>
            </c:numRef>
          </c:val>
        </c:ser>
        <c:ser>
          <c:idx val="2"/>
          <c:order val="2"/>
          <c:tx>
            <c:strRef>
              <c:f>рейтинг1!$E$2</c:f>
              <c:strCache>
                <c:ptCount val="1"/>
                <c:pt idx="0">
                  <c:v>Произведено скота и птицы на 100 га сельскохозяйственных угодий, кг</c:v>
                </c:pt>
              </c:strCache>
            </c:strRef>
          </c:tx>
          <c:invertIfNegative val="0"/>
          <c:dLbls>
            <c:showLegendKey val="0"/>
            <c:showVal val="1"/>
            <c:showCatName val="0"/>
            <c:showSerName val="0"/>
            <c:showPercent val="0"/>
            <c:showBubbleSize val="0"/>
            <c:showLeaderLines val="0"/>
          </c:dLbls>
          <c:cat>
            <c:numRef>
              <c:f>рейтинг1!$B$3:$B$7</c:f>
              <c:numCache>
                <c:formatCode>General</c:formatCode>
                <c:ptCount val="5"/>
                <c:pt idx="0">
                  <c:v>2013</c:v>
                </c:pt>
                <c:pt idx="1">
                  <c:v>2014</c:v>
                </c:pt>
                <c:pt idx="2">
                  <c:v>2015</c:v>
                </c:pt>
                <c:pt idx="3">
                  <c:v>2016</c:v>
                </c:pt>
                <c:pt idx="4">
                  <c:v>2017</c:v>
                </c:pt>
              </c:numCache>
            </c:numRef>
          </c:cat>
          <c:val>
            <c:numRef>
              <c:f>рейтинг1!$E$3:$E$7</c:f>
              <c:numCache>
                <c:formatCode>General</c:formatCode>
                <c:ptCount val="5"/>
                <c:pt idx="0">
                  <c:v>25</c:v>
                </c:pt>
                <c:pt idx="1">
                  <c:v>26</c:v>
                </c:pt>
                <c:pt idx="2">
                  <c:v>25</c:v>
                </c:pt>
                <c:pt idx="3">
                  <c:v>27</c:v>
                </c:pt>
                <c:pt idx="4">
                  <c:v>26</c:v>
                </c:pt>
              </c:numCache>
            </c:numRef>
          </c:val>
        </c:ser>
        <c:ser>
          <c:idx val="3"/>
          <c:order val="3"/>
          <c:tx>
            <c:strRef>
              <c:f>рейтинг1!$F$2</c:f>
              <c:strCache>
                <c:ptCount val="1"/>
                <c:pt idx="0">
                  <c:v>Произведено молока на 100 га сельскохозяйственных угодий, кг</c:v>
                </c:pt>
              </c:strCache>
            </c:strRef>
          </c:tx>
          <c:invertIfNegative val="0"/>
          <c:dLbls>
            <c:showLegendKey val="0"/>
            <c:showVal val="1"/>
            <c:showCatName val="0"/>
            <c:showSerName val="0"/>
            <c:showPercent val="0"/>
            <c:showBubbleSize val="0"/>
            <c:showLeaderLines val="0"/>
          </c:dLbls>
          <c:cat>
            <c:numRef>
              <c:f>рейтинг1!$B$3:$B$7</c:f>
              <c:numCache>
                <c:formatCode>General</c:formatCode>
                <c:ptCount val="5"/>
                <c:pt idx="0">
                  <c:v>2013</c:v>
                </c:pt>
                <c:pt idx="1">
                  <c:v>2014</c:v>
                </c:pt>
                <c:pt idx="2">
                  <c:v>2015</c:v>
                </c:pt>
                <c:pt idx="3">
                  <c:v>2016</c:v>
                </c:pt>
                <c:pt idx="4">
                  <c:v>2017</c:v>
                </c:pt>
              </c:numCache>
            </c:numRef>
          </c:cat>
          <c:val>
            <c:numRef>
              <c:f>рейтинг1!$F$3:$F$7</c:f>
              <c:numCache>
                <c:formatCode>General</c:formatCode>
                <c:ptCount val="5"/>
                <c:pt idx="0">
                  <c:v>15</c:v>
                </c:pt>
                <c:pt idx="1">
                  <c:v>19</c:v>
                </c:pt>
                <c:pt idx="2">
                  <c:v>19</c:v>
                </c:pt>
                <c:pt idx="3">
                  <c:v>19</c:v>
                </c:pt>
                <c:pt idx="4">
                  <c:v>19</c:v>
                </c:pt>
              </c:numCache>
            </c:numRef>
          </c:val>
        </c:ser>
        <c:dLbls>
          <c:showLegendKey val="0"/>
          <c:showVal val="0"/>
          <c:showCatName val="0"/>
          <c:showSerName val="0"/>
          <c:showPercent val="0"/>
          <c:showBubbleSize val="0"/>
        </c:dLbls>
        <c:gapWidth val="150"/>
        <c:axId val="282749568"/>
        <c:axId val="282755456"/>
      </c:barChart>
      <c:catAx>
        <c:axId val="282749568"/>
        <c:scaling>
          <c:orientation val="minMax"/>
        </c:scaling>
        <c:delete val="0"/>
        <c:axPos val="b"/>
        <c:numFmt formatCode="General" sourceLinked="1"/>
        <c:majorTickMark val="none"/>
        <c:minorTickMark val="none"/>
        <c:tickLblPos val="nextTo"/>
        <c:crossAx val="282755456"/>
        <c:crosses val="autoZero"/>
        <c:auto val="1"/>
        <c:lblAlgn val="ctr"/>
        <c:lblOffset val="100"/>
        <c:noMultiLvlLbl val="0"/>
      </c:catAx>
      <c:valAx>
        <c:axId val="282755456"/>
        <c:scaling>
          <c:orientation val="minMax"/>
        </c:scaling>
        <c:delete val="1"/>
        <c:axPos val="l"/>
        <c:numFmt formatCode="General" sourceLinked="1"/>
        <c:majorTickMark val="out"/>
        <c:minorTickMark val="none"/>
        <c:tickLblPos val="none"/>
        <c:crossAx val="282749568"/>
        <c:crosses val="autoZero"/>
        <c:crossBetween val="between"/>
      </c:valAx>
    </c:plotArea>
    <c:legend>
      <c:legendPos val="b"/>
      <c:layout>
        <c:manualLayout>
          <c:xMode val="edge"/>
          <c:yMode val="edge"/>
          <c:x val="0.11662937684627939"/>
          <c:y val="0.72671043465411633"/>
          <c:w val="0.78771682408512766"/>
          <c:h val="0.27328940392761497"/>
        </c:manualLayout>
      </c:layout>
      <c:overlay val="0"/>
    </c:legend>
    <c:plotVisOnly val="1"/>
    <c:dispBlanksAs val="gap"/>
    <c:showDLblsOverMax val="0"/>
  </c:chart>
  <c:txPr>
    <a:bodyPr/>
    <a:lstStyle/>
    <a:p>
      <a:pPr>
        <a:defRPr sz="1000" baseline="0">
          <a:latin typeface="Times New Roman" pitchFamily="18" charset="0"/>
          <a:cs typeface="Times New Roman" pitchFamily="18" charset="0"/>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453723887016528E-2"/>
          <c:y val="0.19259043797640368"/>
          <c:w val="0.85183860931979105"/>
          <c:h val="0.66652851500591181"/>
        </c:manualLayout>
      </c:layout>
      <c:scatterChart>
        <c:scatterStyle val="lineMarker"/>
        <c:varyColors val="0"/>
        <c:ser>
          <c:idx val="0"/>
          <c:order val="0"/>
          <c:tx>
            <c:strRef>
              <c:f>Рождаемость!$A$3</c:f>
              <c:strCache>
                <c:ptCount val="1"/>
                <c:pt idx="0">
                  <c:v>Алексеевский</c:v>
                </c:pt>
              </c:strCache>
            </c:strRef>
          </c:tx>
          <c:spPr>
            <a:ln w="47625">
              <a:noFill/>
            </a:ln>
          </c:spPr>
          <c:marker>
            <c:symbol val="circle"/>
            <c:size val="6"/>
            <c:spPr>
              <a:solidFill>
                <a:srgbClr val="4F81BD">
                  <a:lumMod val="50000"/>
                </a:srgbClr>
              </a:solidFill>
              <a:ln>
                <a:noFill/>
              </a:ln>
            </c:spPr>
          </c:marker>
          <c:dLbls>
            <c:dLbl>
              <c:idx val="0"/>
              <c:layout>
                <c:manualLayout>
                  <c:x val="-7.0426065162907314E-3"/>
                  <c:y val="-2.108388519629263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Рождаемость!$D$3</c:f>
              <c:numCache>
                <c:formatCode>0.0</c:formatCode>
                <c:ptCount val="1"/>
                <c:pt idx="0">
                  <c:v>-0.76926123306574989</c:v>
                </c:pt>
              </c:numCache>
            </c:numRef>
          </c:xVal>
          <c:yVal>
            <c:numRef>
              <c:f>Рождаемость!$B$3</c:f>
              <c:numCache>
                <c:formatCode>General</c:formatCode>
                <c:ptCount val="1"/>
                <c:pt idx="0">
                  <c:v>12.8</c:v>
                </c:pt>
              </c:numCache>
            </c:numRef>
          </c:yVal>
          <c:smooth val="0"/>
        </c:ser>
        <c:ser>
          <c:idx val="1"/>
          <c:order val="1"/>
          <c:tx>
            <c:strRef>
              <c:f>Рождаемость!$A$4</c:f>
              <c:strCache>
                <c:ptCount val="1"/>
                <c:pt idx="0">
                  <c:v>Безенчукский</c:v>
                </c:pt>
              </c:strCache>
            </c:strRef>
          </c:tx>
          <c:spPr>
            <a:ln w="47625">
              <a:noFill/>
            </a:ln>
          </c:spPr>
          <c:marker>
            <c:symbol val="circle"/>
            <c:size val="6"/>
            <c:spPr>
              <a:solidFill>
                <a:srgbClr val="4F81BD">
                  <a:lumMod val="50000"/>
                </a:srgbClr>
              </a:solidFill>
              <a:ln>
                <a:noFill/>
              </a:ln>
            </c:spPr>
          </c:marker>
          <c:dLbls>
            <c:dLbl>
              <c:idx val="0"/>
              <c:layout>
                <c:manualLayout>
                  <c:x val="-3.8095238095238095E-3"/>
                  <c:y val="5.642166460979732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Рождаемость!$D$4</c:f>
              <c:numCache>
                <c:formatCode>0.0</c:formatCode>
                <c:ptCount val="1"/>
                <c:pt idx="0">
                  <c:v>-3.5356053116230211</c:v>
                </c:pt>
              </c:numCache>
            </c:numRef>
          </c:xVal>
          <c:yVal>
            <c:numRef>
              <c:f>Рождаемость!$B$4</c:f>
              <c:numCache>
                <c:formatCode>General</c:formatCode>
                <c:ptCount val="1"/>
                <c:pt idx="0">
                  <c:v>11.4</c:v>
                </c:pt>
              </c:numCache>
            </c:numRef>
          </c:yVal>
          <c:smooth val="0"/>
        </c:ser>
        <c:ser>
          <c:idx val="2"/>
          <c:order val="2"/>
          <c:tx>
            <c:strRef>
              <c:f>Рождаемость!$A$5</c:f>
              <c:strCache>
                <c:ptCount val="1"/>
                <c:pt idx="0">
                  <c:v>Богатовский </c:v>
                </c:pt>
              </c:strCache>
            </c:strRef>
          </c:tx>
          <c:spPr>
            <a:ln w="47625">
              <a:noFill/>
            </a:ln>
          </c:spPr>
          <c:marker>
            <c:symbol val="circle"/>
            <c:size val="6"/>
            <c:spPr>
              <a:solidFill>
                <a:srgbClr val="4F81BD">
                  <a:lumMod val="50000"/>
                </a:srgbClr>
              </a:solidFill>
              <a:ln>
                <a:noFill/>
              </a:ln>
            </c:spPr>
          </c:marker>
          <c:dLbls>
            <c:dLbl>
              <c:idx val="0"/>
              <c:layout>
                <c:manualLayout>
                  <c:x val="6.6540366664693098E-3"/>
                  <c:y val="-2.9695612952525052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Рождаемость!$D$5</c:f>
              <c:numCache>
                <c:formatCode>0.0</c:formatCode>
                <c:ptCount val="1"/>
                <c:pt idx="0">
                  <c:v>-0.51948988993706047</c:v>
                </c:pt>
              </c:numCache>
            </c:numRef>
          </c:xVal>
          <c:yVal>
            <c:numRef>
              <c:f>Рождаемость!$B$5</c:f>
              <c:numCache>
                <c:formatCode>General</c:formatCode>
                <c:ptCount val="1"/>
                <c:pt idx="0">
                  <c:v>12.7</c:v>
                </c:pt>
              </c:numCache>
            </c:numRef>
          </c:yVal>
          <c:smooth val="0"/>
        </c:ser>
        <c:ser>
          <c:idx val="3"/>
          <c:order val="3"/>
          <c:tx>
            <c:strRef>
              <c:f>Рождаемость!$A$6</c:f>
              <c:strCache>
                <c:ptCount val="1"/>
                <c:pt idx="0">
                  <c:v>Большеглушицкий</c:v>
                </c:pt>
              </c:strCache>
            </c:strRef>
          </c:tx>
          <c:spPr>
            <a:ln w="47625">
              <a:noFill/>
            </a:ln>
          </c:spPr>
          <c:marker>
            <c:symbol val="circle"/>
            <c:size val="6"/>
            <c:spPr>
              <a:solidFill>
                <a:srgbClr val="4F81BD">
                  <a:lumMod val="50000"/>
                </a:srgbClr>
              </a:solidFill>
              <a:ln>
                <a:noFill/>
              </a:ln>
            </c:spPr>
          </c:marker>
          <c:dLbls>
            <c:dLbl>
              <c:idx val="0"/>
              <c:layout>
                <c:manualLayout>
                  <c:x val="2.4214078503345058E-4"/>
                  <c:y val="-9.9258170853124645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Рождаемость!$D$6</c:f>
              <c:numCache>
                <c:formatCode>0.0</c:formatCode>
                <c:ptCount val="1"/>
                <c:pt idx="0">
                  <c:v>-3.2022229686390062</c:v>
                </c:pt>
              </c:numCache>
            </c:numRef>
          </c:xVal>
          <c:yVal>
            <c:numRef>
              <c:f>Рождаемость!$B$6</c:f>
              <c:numCache>
                <c:formatCode>General</c:formatCode>
                <c:ptCount val="1"/>
                <c:pt idx="0">
                  <c:v>11.7</c:v>
                </c:pt>
              </c:numCache>
            </c:numRef>
          </c:yVal>
          <c:smooth val="0"/>
        </c:ser>
        <c:ser>
          <c:idx val="4"/>
          <c:order val="4"/>
          <c:tx>
            <c:strRef>
              <c:f>Рождаемость!$A$7</c:f>
              <c:strCache>
                <c:ptCount val="1"/>
                <c:pt idx="0">
                  <c:v>Большечерниговский</c:v>
                </c:pt>
              </c:strCache>
            </c:strRef>
          </c:tx>
          <c:spPr>
            <a:ln w="47625">
              <a:noFill/>
            </a:ln>
          </c:spPr>
          <c:marker>
            <c:symbol val="circle"/>
            <c:size val="6"/>
            <c:spPr>
              <a:solidFill>
                <a:srgbClr val="4F81BD">
                  <a:lumMod val="50000"/>
                </a:srgbClr>
              </a:solidFill>
              <a:ln>
                <a:noFill/>
              </a:ln>
            </c:spPr>
          </c:marker>
          <c:dLbls>
            <c:dLbl>
              <c:idx val="0"/>
              <c:layout>
                <c:manualLayout>
                  <c:x val="-0.10144430975667212"/>
                  <c:y val="3.952855847688123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Рождаемость!$D$7</c:f>
              <c:numCache>
                <c:formatCode>0.0</c:formatCode>
                <c:ptCount val="1"/>
                <c:pt idx="0">
                  <c:v>0</c:v>
                </c:pt>
              </c:numCache>
            </c:numRef>
          </c:xVal>
          <c:yVal>
            <c:numRef>
              <c:f>Рождаемость!$B$7</c:f>
              <c:numCache>
                <c:formatCode>General</c:formatCode>
                <c:ptCount val="1"/>
                <c:pt idx="0">
                  <c:v>15.7</c:v>
                </c:pt>
              </c:numCache>
            </c:numRef>
          </c:yVal>
          <c:smooth val="0"/>
        </c:ser>
        <c:ser>
          <c:idx val="5"/>
          <c:order val="5"/>
          <c:tx>
            <c:strRef>
              <c:f>Рождаемость!$A$8</c:f>
              <c:strCache>
                <c:ptCount val="1"/>
                <c:pt idx="0">
                  <c:v>Борский</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Рождаемость!$D$8</c:f>
              <c:numCache>
                <c:formatCode>0.0</c:formatCode>
                <c:ptCount val="1"/>
                <c:pt idx="0">
                  <c:v>-2.8365940912728149</c:v>
                </c:pt>
              </c:numCache>
            </c:numRef>
          </c:xVal>
          <c:yVal>
            <c:numRef>
              <c:f>Рождаемость!$B$8</c:f>
              <c:numCache>
                <c:formatCode>General</c:formatCode>
                <c:ptCount val="1"/>
                <c:pt idx="0">
                  <c:v>12.2</c:v>
                </c:pt>
              </c:numCache>
            </c:numRef>
          </c:yVal>
          <c:smooth val="0"/>
        </c:ser>
        <c:ser>
          <c:idx val="6"/>
          <c:order val="6"/>
          <c:tx>
            <c:strRef>
              <c:f>Рождаемость!$A$9</c:f>
              <c:strCache>
                <c:ptCount val="1"/>
                <c:pt idx="0">
                  <c:v>Волжский </c:v>
                </c:pt>
              </c:strCache>
            </c:strRef>
          </c:tx>
          <c:spPr>
            <a:ln w="47625">
              <a:noFill/>
            </a:ln>
          </c:spPr>
          <c:marker>
            <c:symbol val="circle"/>
            <c:size val="6"/>
            <c:spPr>
              <a:solidFill>
                <a:schemeClr val="accent1">
                  <a:lumMod val="50000"/>
                </a:schemeClr>
              </a:solidFill>
              <a:ln>
                <a:noFill/>
              </a:ln>
            </c:spPr>
          </c:marker>
          <c:dLbls>
            <c:dLbl>
              <c:idx val="0"/>
              <c:layout>
                <c:manualLayout>
                  <c:x val="5.0125313283208477E-3"/>
                  <c:y val="-2.969561295251415E-4"/>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Рождаемость!$D$9</c:f>
              <c:numCache>
                <c:formatCode>0.0</c:formatCode>
                <c:ptCount val="1"/>
                <c:pt idx="0">
                  <c:v>-3.6067859040201138</c:v>
                </c:pt>
              </c:numCache>
            </c:numRef>
          </c:xVal>
          <c:yVal>
            <c:numRef>
              <c:f>Рождаемость!$B$9</c:f>
              <c:numCache>
                <c:formatCode>General</c:formatCode>
                <c:ptCount val="1"/>
                <c:pt idx="0">
                  <c:v>10.3</c:v>
                </c:pt>
              </c:numCache>
            </c:numRef>
          </c:yVal>
          <c:smooth val="0"/>
        </c:ser>
        <c:ser>
          <c:idx val="7"/>
          <c:order val="7"/>
          <c:tx>
            <c:strRef>
              <c:f>Рождаемость!$A$10</c:f>
              <c:strCache>
                <c:ptCount val="1"/>
                <c:pt idx="0">
                  <c:v>Елховский</c:v>
                </c:pt>
              </c:strCache>
            </c:strRef>
          </c:tx>
          <c:spPr>
            <a:ln w="47625">
              <a:noFill/>
            </a:ln>
          </c:spPr>
          <c:marker>
            <c:symbol val="circle"/>
            <c:size val="6"/>
            <c:spPr>
              <a:solidFill>
                <a:srgbClr val="4F81BD">
                  <a:lumMod val="50000"/>
                </a:srgbClr>
              </a:solidFill>
              <a:ln>
                <a:noFill/>
              </a:ln>
            </c:spPr>
          </c:marker>
          <c:dLbls>
            <c:dLbl>
              <c:idx val="0"/>
              <c:layout>
                <c:manualLayout>
                  <c:x val="-8.0832001263000063E-4"/>
                  <c:y val="-6.2360787200302541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Рождаемость!$D$10</c:f>
              <c:numCache>
                <c:formatCode>0.0</c:formatCode>
                <c:ptCount val="1"/>
                <c:pt idx="0">
                  <c:v>0.27700972535929314</c:v>
                </c:pt>
              </c:numCache>
            </c:numRef>
          </c:xVal>
          <c:yVal>
            <c:numRef>
              <c:f>Рождаемость!$B$10</c:f>
              <c:numCache>
                <c:formatCode>General</c:formatCode>
                <c:ptCount val="1"/>
                <c:pt idx="0">
                  <c:v>12.1</c:v>
                </c:pt>
              </c:numCache>
            </c:numRef>
          </c:yVal>
          <c:smooth val="0"/>
        </c:ser>
        <c:ser>
          <c:idx val="8"/>
          <c:order val="8"/>
          <c:tx>
            <c:strRef>
              <c:f>Рождаемость!$A$11</c:f>
              <c:strCache>
                <c:ptCount val="1"/>
                <c:pt idx="0">
                  <c:v>Исаклинский </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Рождаемость!$D$11</c:f>
              <c:numCache>
                <c:formatCode>0.0</c:formatCode>
                <c:ptCount val="1"/>
                <c:pt idx="0">
                  <c:v>-10.279789798545298</c:v>
                </c:pt>
              </c:numCache>
            </c:numRef>
          </c:xVal>
          <c:yVal>
            <c:numRef>
              <c:f>Рождаемость!$B$11</c:f>
              <c:numCache>
                <c:formatCode>General</c:formatCode>
                <c:ptCount val="1"/>
                <c:pt idx="0">
                  <c:v>10.4</c:v>
                </c:pt>
              </c:numCache>
            </c:numRef>
          </c:yVal>
          <c:smooth val="0"/>
        </c:ser>
        <c:ser>
          <c:idx val="9"/>
          <c:order val="9"/>
          <c:tx>
            <c:strRef>
              <c:f>Рождаемость!$A$12</c:f>
              <c:strCache>
                <c:ptCount val="1"/>
                <c:pt idx="0">
                  <c:v>Камышлинский</c:v>
                </c:pt>
              </c:strCache>
            </c:strRef>
          </c:tx>
          <c:spPr>
            <a:ln w="47625">
              <a:noFill/>
            </a:ln>
          </c:spPr>
          <c:marker>
            <c:symbol val="circle"/>
            <c:size val="6"/>
            <c:spPr>
              <a:solidFill>
                <a:srgbClr val="FF0000"/>
              </a:solidFill>
              <a:ln>
                <a:noFill/>
              </a:ln>
            </c:spPr>
          </c:marker>
          <c:dLbls>
            <c:dLblPos val="t"/>
            <c:showLegendKey val="0"/>
            <c:showVal val="0"/>
            <c:showCatName val="0"/>
            <c:showSerName val="1"/>
            <c:showPercent val="0"/>
            <c:showBubbleSize val="0"/>
            <c:showLeaderLines val="0"/>
          </c:dLbls>
          <c:xVal>
            <c:numRef>
              <c:f>Рождаемость!$D$12</c:f>
              <c:numCache>
                <c:formatCode>0.0</c:formatCode>
                <c:ptCount val="1"/>
                <c:pt idx="0">
                  <c:v>-10.695475015043327</c:v>
                </c:pt>
              </c:numCache>
            </c:numRef>
          </c:xVal>
          <c:yVal>
            <c:numRef>
              <c:f>Рождаемость!$B$12</c:f>
              <c:numCache>
                <c:formatCode>General</c:formatCode>
                <c:ptCount val="1"/>
                <c:pt idx="0">
                  <c:v>9.9</c:v>
                </c:pt>
              </c:numCache>
            </c:numRef>
          </c:yVal>
          <c:smooth val="0"/>
        </c:ser>
        <c:ser>
          <c:idx val="10"/>
          <c:order val="10"/>
          <c:tx>
            <c:strRef>
              <c:f>Рождаемость!$A$13</c:f>
              <c:strCache>
                <c:ptCount val="1"/>
                <c:pt idx="0">
                  <c:v>Кинельский </c:v>
                </c:pt>
              </c:strCache>
            </c:strRef>
          </c:tx>
          <c:spPr>
            <a:ln w="47625">
              <a:noFill/>
            </a:ln>
          </c:spPr>
          <c:marker>
            <c:symbol val="circle"/>
            <c:size val="6"/>
            <c:spPr>
              <a:solidFill>
                <a:srgbClr val="4F81BD">
                  <a:lumMod val="50000"/>
                </a:srgbClr>
              </a:solidFill>
              <a:ln>
                <a:noFill/>
              </a:ln>
            </c:spPr>
          </c:marker>
          <c:dLbls>
            <c:dLbl>
              <c:idx val="0"/>
              <c:layout>
                <c:manualLayout>
                  <c:x val="-5.8198646221853424E-3"/>
                  <c:y val="-3.4989382064691621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Рождаемость!$D$13</c:f>
              <c:numCache>
                <c:formatCode>0.0</c:formatCode>
                <c:ptCount val="1"/>
                <c:pt idx="0">
                  <c:v>-8.0358607872959684</c:v>
                </c:pt>
              </c:numCache>
            </c:numRef>
          </c:xVal>
          <c:yVal>
            <c:numRef>
              <c:f>Рождаемость!$B$13</c:f>
              <c:numCache>
                <c:formatCode>General</c:formatCode>
                <c:ptCount val="1"/>
                <c:pt idx="0">
                  <c:v>9.8000000000000007</c:v>
                </c:pt>
              </c:numCache>
            </c:numRef>
          </c:yVal>
          <c:smooth val="0"/>
        </c:ser>
        <c:ser>
          <c:idx val="11"/>
          <c:order val="11"/>
          <c:tx>
            <c:strRef>
              <c:f>Рождаемость!$A$14</c:f>
              <c:strCache>
                <c:ptCount val="1"/>
                <c:pt idx="0">
                  <c:v>Кинель-Черкасский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Рождаемость!$D$14</c:f>
              <c:numCache>
                <c:formatCode>0.0</c:formatCode>
                <c:ptCount val="1"/>
                <c:pt idx="0">
                  <c:v>-5.1947600007991213</c:v>
                </c:pt>
              </c:numCache>
            </c:numRef>
          </c:xVal>
          <c:yVal>
            <c:numRef>
              <c:f>Рождаемость!$B$14</c:f>
              <c:numCache>
                <c:formatCode>General</c:formatCode>
                <c:ptCount val="1"/>
                <c:pt idx="0">
                  <c:v>12.1</c:v>
                </c:pt>
              </c:numCache>
            </c:numRef>
          </c:yVal>
          <c:smooth val="0"/>
        </c:ser>
        <c:ser>
          <c:idx val="12"/>
          <c:order val="12"/>
          <c:tx>
            <c:strRef>
              <c:f>Рождаемость!$A$15</c:f>
              <c:strCache>
                <c:ptCount val="1"/>
                <c:pt idx="0">
                  <c:v>Клявлинский </c:v>
                </c:pt>
              </c:strCache>
            </c:strRef>
          </c:tx>
          <c:spPr>
            <a:ln w="47625">
              <a:noFill/>
            </a:ln>
          </c:spPr>
          <c:marker>
            <c:symbol val="circle"/>
            <c:size val="6"/>
            <c:spPr>
              <a:solidFill>
                <a:srgbClr val="4F81BD">
                  <a:lumMod val="50000"/>
                </a:srgbClr>
              </a:solidFill>
              <a:ln>
                <a:noFill/>
              </a:ln>
            </c:spPr>
          </c:marker>
          <c:dLbls>
            <c:dLbl>
              <c:idx val="0"/>
              <c:layout>
                <c:manualLayout>
                  <c:x val="8.3646123181970664E-3"/>
                  <c:y val="5.642166460979732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Рождаемость!$D$15</c:f>
              <c:numCache>
                <c:formatCode>0.0</c:formatCode>
                <c:ptCount val="1"/>
                <c:pt idx="0">
                  <c:v>-7.9999793403415964</c:v>
                </c:pt>
              </c:numCache>
            </c:numRef>
          </c:xVal>
          <c:yVal>
            <c:numRef>
              <c:f>Рождаемость!$B$15</c:f>
              <c:numCache>
                <c:formatCode>General</c:formatCode>
                <c:ptCount val="1"/>
                <c:pt idx="0">
                  <c:v>9.5</c:v>
                </c:pt>
              </c:numCache>
            </c:numRef>
          </c:yVal>
          <c:smooth val="0"/>
        </c:ser>
        <c:ser>
          <c:idx val="13"/>
          <c:order val="13"/>
          <c:tx>
            <c:strRef>
              <c:f>Рождаемость!$A$16</c:f>
              <c:strCache>
                <c:ptCount val="1"/>
                <c:pt idx="0">
                  <c:v>Кошкинский</c:v>
                </c:pt>
              </c:strCache>
            </c:strRef>
          </c:tx>
          <c:spPr>
            <a:ln w="47625">
              <a:noFill/>
            </a:ln>
          </c:spPr>
          <c:marker>
            <c:symbol val="circle"/>
            <c:size val="6"/>
            <c:spPr>
              <a:solidFill>
                <a:srgbClr val="4F81BD">
                  <a:lumMod val="50000"/>
                </a:srgbClr>
              </a:solidFill>
              <a:ln>
                <a:noFill/>
              </a:ln>
            </c:spPr>
          </c:marker>
          <c:dLbls>
            <c:dLbl>
              <c:idx val="0"/>
              <c:layout>
                <c:manualLayout>
                  <c:x val="8.1305626270492776E-5"/>
                  <c:y val="1.158128905148472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Рождаемость!$D$16</c:f>
              <c:numCache>
                <c:formatCode>0.0</c:formatCode>
                <c:ptCount val="1"/>
                <c:pt idx="0">
                  <c:v>-0.27624450122512201</c:v>
                </c:pt>
              </c:numCache>
            </c:numRef>
          </c:xVal>
          <c:yVal>
            <c:numRef>
              <c:f>Рождаемость!$B$16</c:f>
              <c:numCache>
                <c:formatCode>General</c:formatCode>
                <c:ptCount val="1"/>
                <c:pt idx="0">
                  <c:v>12</c:v>
                </c:pt>
              </c:numCache>
            </c:numRef>
          </c:yVal>
          <c:smooth val="0"/>
        </c:ser>
        <c:ser>
          <c:idx val="14"/>
          <c:order val="14"/>
          <c:tx>
            <c:strRef>
              <c:f>Рождаемость!$A$17</c:f>
              <c:strCache>
                <c:ptCount val="1"/>
                <c:pt idx="0">
                  <c:v>Красноармейский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Рождаемость!$D$18</c:f>
              <c:numCache>
                <c:formatCode>0.0</c:formatCode>
                <c:ptCount val="1"/>
                <c:pt idx="0">
                  <c:v>-5.0851191326387664</c:v>
                </c:pt>
              </c:numCache>
            </c:numRef>
          </c:xVal>
          <c:yVal>
            <c:numRef>
              <c:f>Рождаемость!$B$17</c:f>
              <c:numCache>
                <c:formatCode>General</c:formatCode>
                <c:ptCount val="1"/>
                <c:pt idx="0">
                  <c:v>14.3</c:v>
                </c:pt>
              </c:numCache>
            </c:numRef>
          </c:yVal>
          <c:smooth val="0"/>
        </c:ser>
        <c:ser>
          <c:idx val="15"/>
          <c:order val="15"/>
          <c:tx>
            <c:strRef>
              <c:f>Рождаемость!$A$18</c:f>
              <c:strCache>
                <c:ptCount val="1"/>
                <c:pt idx="0">
                  <c:v>Красноярский </c:v>
                </c:pt>
              </c:strCache>
            </c:strRef>
          </c:tx>
          <c:spPr>
            <a:ln w="47625">
              <a:noFill/>
            </a:ln>
          </c:spPr>
          <c:marker>
            <c:symbol val="circle"/>
            <c:size val="6"/>
            <c:spPr>
              <a:solidFill>
                <a:srgbClr val="4F81BD">
                  <a:lumMod val="50000"/>
                </a:srgbClr>
              </a:solidFill>
              <a:ln>
                <a:noFill/>
              </a:ln>
            </c:spPr>
          </c:marker>
          <c:dLbls>
            <c:dLbl>
              <c:idx val="0"/>
              <c:layout>
                <c:manualLayout>
                  <c:x val="-1.9162078424407572E-4"/>
                  <c:y val="-1.418468239489740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Рождаемость!$D$18</c:f>
              <c:numCache>
                <c:formatCode>0.0</c:formatCode>
                <c:ptCount val="1"/>
                <c:pt idx="0">
                  <c:v>-5.0851191326387664</c:v>
                </c:pt>
              </c:numCache>
            </c:numRef>
          </c:xVal>
          <c:yVal>
            <c:numRef>
              <c:f>Рождаемость!$B$18</c:f>
              <c:numCache>
                <c:formatCode>General</c:formatCode>
                <c:ptCount val="1"/>
                <c:pt idx="0">
                  <c:v>11.8</c:v>
                </c:pt>
              </c:numCache>
            </c:numRef>
          </c:yVal>
          <c:smooth val="0"/>
        </c:ser>
        <c:ser>
          <c:idx val="16"/>
          <c:order val="16"/>
          <c:tx>
            <c:strRef>
              <c:f>Рождаемость!$A$19</c:f>
              <c:strCache>
                <c:ptCount val="1"/>
                <c:pt idx="0">
                  <c:v>Нефтегорский </c:v>
                </c:pt>
              </c:strCache>
            </c:strRef>
          </c:tx>
          <c:spPr>
            <a:ln w="47625">
              <a:noFill/>
            </a:ln>
          </c:spPr>
          <c:marker>
            <c:symbol val="circle"/>
            <c:size val="6"/>
            <c:spPr>
              <a:solidFill>
                <a:srgbClr val="4F81BD">
                  <a:lumMod val="50000"/>
                </a:srgbClr>
              </a:solidFill>
              <a:ln>
                <a:noFill/>
              </a:ln>
            </c:spPr>
          </c:marker>
          <c:dLbls>
            <c:dLbl>
              <c:idx val="0"/>
              <c:layout>
                <c:manualLayout>
                  <c:x val="-5.8555902908231983E-2"/>
                  <c:y val="3.5902085222121488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Рождаемость!$D$19</c:f>
              <c:numCache>
                <c:formatCode>0.0</c:formatCode>
                <c:ptCount val="1"/>
                <c:pt idx="0">
                  <c:v>0</c:v>
                </c:pt>
              </c:numCache>
            </c:numRef>
          </c:xVal>
          <c:yVal>
            <c:numRef>
              <c:f>Рождаемость!$B$19</c:f>
              <c:numCache>
                <c:formatCode>General</c:formatCode>
                <c:ptCount val="1"/>
                <c:pt idx="0">
                  <c:v>11</c:v>
                </c:pt>
              </c:numCache>
            </c:numRef>
          </c:yVal>
          <c:smooth val="0"/>
        </c:ser>
        <c:ser>
          <c:idx val="17"/>
          <c:order val="17"/>
          <c:tx>
            <c:strRef>
              <c:f>Рождаемость!$A$20</c:f>
              <c:strCache>
                <c:ptCount val="1"/>
                <c:pt idx="0">
                  <c:v>Пестравский </c:v>
                </c:pt>
              </c:strCache>
            </c:strRef>
          </c:tx>
          <c:spPr>
            <a:ln w="47625">
              <a:noFill/>
            </a:ln>
          </c:spPr>
          <c:marker>
            <c:symbol val="circle"/>
            <c:size val="6"/>
            <c:spPr>
              <a:solidFill>
                <a:schemeClr val="accent1">
                  <a:lumMod val="50000"/>
                </a:schemeClr>
              </a:solidFill>
              <a:ln>
                <a:noFill/>
              </a:ln>
            </c:spPr>
          </c:marker>
          <c:dLbls>
            <c:dLbl>
              <c:idx val="0"/>
              <c:layout>
                <c:manualLayout>
                  <c:x val="-0.10427959662936837"/>
                  <c:y val="-2.888424463012128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Рождаемость!$D$20</c:f>
              <c:numCache>
                <c:formatCode>0.0</c:formatCode>
                <c:ptCount val="1"/>
                <c:pt idx="0">
                  <c:v>-1.0959786502667868</c:v>
                </c:pt>
              </c:numCache>
            </c:numRef>
          </c:xVal>
          <c:yVal>
            <c:numRef>
              <c:f>Рождаемость!$B$20</c:f>
              <c:numCache>
                <c:formatCode>General</c:formatCode>
                <c:ptCount val="1"/>
                <c:pt idx="0">
                  <c:v>11.9</c:v>
                </c:pt>
              </c:numCache>
            </c:numRef>
          </c:yVal>
          <c:smooth val="0"/>
        </c:ser>
        <c:ser>
          <c:idx val="18"/>
          <c:order val="18"/>
          <c:tx>
            <c:strRef>
              <c:f>Рождаемость!$A$21</c:f>
              <c:strCache>
                <c:ptCount val="1"/>
                <c:pt idx="0">
                  <c:v>Похвистневский</c:v>
                </c:pt>
              </c:strCache>
            </c:strRef>
          </c:tx>
          <c:spPr>
            <a:ln w="47625">
              <a:noFill/>
            </a:ln>
          </c:spPr>
          <c:marker>
            <c:symbol val="circle"/>
            <c:size val="6"/>
            <c:spPr>
              <a:solidFill>
                <a:srgbClr val="4F81BD">
                  <a:lumMod val="50000"/>
                </a:srgbClr>
              </a:solidFill>
              <a:ln>
                <a:noFill/>
              </a:ln>
            </c:spPr>
          </c:marker>
          <c:dLbls>
            <c:dLbl>
              <c:idx val="0"/>
              <c:layout>
                <c:manualLayout>
                  <c:x val="-9.3130266611410564E-2"/>
                  <c:y val="3.858348652684309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Рождаемость!$D$21</c:f>
              <c:numCache>
                <c:formatCode>0.0</c:formatCode>
                <c:ptCount val="1"/>
                <c:pt idx="0">
                  <c:v>-11.512641091512336</c:v>
                </c:pt>
              </c:numCache>
            </c:numRef>
          </c:xVal>
          <c:yVal>
            <c:numRef>
              <c:f>Рождаемость!$B$21</c:f>
              <c:numCache>
                <c:formatCode>General</c:formatCode>
                <c:ptCount val="1"/>
                <c:pt idx="0">
                  <c:v>9.7000000000000011</c:v>
                </c:pt>
              </c:numCache>
            </c:numRef>
          </c:yVal>
          <c:smooth val="0"/>
        </c:ser>
        <c:ser>
          <c:idx val="19"/>
          <c:order val="19"/>
          <c:tx>
            <c:strRef>
              <c:f>Рождаемость!$A$22</c:f>
              <c:strCache>
                <c:ptCount val="1"/>
                <c:pt idx="0">
                  <c:v>Приволжский</c:v>
                </c:pt>
              </c:strCache>
            </c:strRef>
          </c:tx>
          <c:spPr>
            <a:ln w="47625">
              <a:noFill/>
            </a:ln>
          </c:spPr>
          <c:marker>
            <c:symbol val="circle"/>
            <c:size val="6"/>
            <c:spPr>
              <a:solidFill>
                <a:srgbClr val="4F81BD">
                  <a:lumMod val="50000"/>
                </a:srgbClr>
              </a:solidFill>
              <a:ln>
                <a:noFill/>
              </a:ln>
            </c:spPr>
          </c:marker>
          <c:dLbls>
            <c:dLbl>
              <c:idx val="0"/>
              <c:layout>
                <c:manualLayout>
                  <c:x val="-7.436090225563935E-2"/>
                  <c:y val="2.642909552774709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Рождаемость!$D$22</c:f>
              <c:numCache>
                <c:formatCode>0.0</c:formatCode>
                <c:ptCount val="1"/>
                <c:pt idx="0">
                  <c:v>-9.4509187440051079</c:v>
                </c:pt>
              </c:numCache>
            </c:numRef>
          </c:xVal>
          <c:yVal>
            <c:numRef>
              <c:f>Рождаемость!$B$22</c:f>
              <c:numCache>
                <c:formatCode>General</c:formatCode>
                <c:ptCount val="1"/>
                <c:pt idx="0">
                  <c:v>9.8000000000000007</c:v>
                </c:pt>
              </c:numCache>
            </c:numRef>
          </c:yVal>
          <c:smooth val="0"/>
        </c:ser>
        <c:ser>
          <c:idx val="20"/>
          <c:order val="20"/>
          <c:tx>
            <c:strRef>
              <c:f>Рождаемость!$A$23</c:f>
              <c:strCache>
                <c:ptCount val="1"/>
                <c:pt idx="0">
                  <c:v>Сергиевский</c:v>
                </c:pt>
              </c:strCache>
            </c:strRef>
          </c:tx>
          <c:spPr>
            <a:ln w="47625">
              <a:noFill/>
            </a:ln>
          </c:spPr>
          <c:marker>
            <c:symbol val="circle"/>
            <c:size val="6"/>
            <c:spPr>
              <a:solidFill>
                <a:srgbClr val="4F81BD">
                  <a:lumMod val="50000"/>
                </a:srgbClr>
              </a:solidFill>
              <a:ln>
                <a:noFill/>
              </a:ln>
            </c:spPr>
          </c:marker>
          <c:dLbls>
            <c:dLbl>
              <c:idx val="0"/>
              <c:layout>
                <c:manualLayout>
                  <c:x val="-7.0003749531308748E-3"/>
                  <c:y val="1.319934922181126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Рождаемость!$D$23</c:f>
              <c:numCache>
                <c:formatCode>0.0</c:formatCode>
                <c:ptCount val="1"/>
                <c:pt idx="0">
                  <c:v>-4.4257907824376872</c:v>
                </c:pt>
              </c:numCache>
            </c:numRef>
          </c:xVal>
          <c:yVal>
            <c:numRef>
              <c:f>Рождаемость!$B$23</c:f>
              <c:numCache>
                <c:formatCode>General</c:formatCode>
                <c:ptCount val="1"/>
                <c:pt idx="0">
                  <c:v>11</c:v>
                </c:pt>
              </c:numCache>
            </c:numRef>
          </c:yVal>
          <c:smooth val="0"/>
        </c:ser>
        <c:ser>
          <c:idx val="21"/>
          <c:order val="21"/>
          <c:tx>
            <c:strRef>
              <c:f>Рождаемость!$A$24</c:f>
              <c:strCache>
                <c:ptCount val="1"/>
                <c:pt idx="0">
                  <c:v>Ставропольский </c:v>
                </c:pt>
              </c:strCache>
            </c:strRef>
          </c:tx>
          <c:spPr>
            <a:ln w="47625">
              <a:noFill/>
            </a:ln>
          </c:spPr>
          <c:marker>
            <c:symbol val="circle"/>
            <c:size val="6"/>
            <c:spPr>
              <a:solidFill>
                <a:srgbClr val="4F81BD">
                  <a:lumMod val="50000"/>
                </a:srgbClr>
              </a:solidFill>
              <a:ln>
                <a:noFill/>
              </a:ln>
            </c:spPr>
          </c:marker>
          <c:dLbls>
            <c:dLbl>
              <c:idx val="0"/>
              <c:layout>
                <c:manualLayout>
                  <c:x val="-6.6275926035561364E-3"/>
                  <c:y val="-5.8114548371815261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Рождаемость!$D$24</c:f>
              <c:numCache>
                <c:formatCode>0.0</c:formatCode>
                <c:ptCount val="1"/>
                <c:pt idx="0">
                  <c:v>-6.1699556404279647</c:v>
                </c:pt>
              </c:numCache>
            </c:numRef>
          </c:xVal>
          <c:yVal>
            <c:numRef>
              <c:f>Рождаемость!$B$24</c:f>
              <c:numCache>
                <c:formatCode>General</c:formatCode>
                <c:ptCount val="1"/>
                <c:pt idx="0">
                  <c:v>11.4</c:v>
                </c:pt>
              </c:numCache>
            </c:numRef>
          </c:yVal>
          <c:smooth val="0"/>
        </c:ser>
        <c:ser>
          <c:idx val="22"/>
          <c:order val="22"/>
          <c:tx>
            <c:strRef>
              <c:f>Рождаемость!$A$25</c:f>
              <c:strCache>
                <c:ptCount val="1"/>
                <c:pt idx="0">
                  <c:v>Сызранский </c:v>
                </c:pt>
              </c:strCache>
            </c:strRef>
          </c:tx>
          <c:spPr>
            <a:ln w="47625">
              <a:noFill/>
            </a:ln>
          </c:spPr>
          <c:marker>
            <c:symbol val="circle"/>
            <c:size val="6"/>
            <c:spPr>
              <a:solidFill>
                <a:srgbClr val="4F81BD">
                  <a:lumMod val="50000"/>
                </a:srgbClr>
              </a:solidFill>
              <a:ln>
                <a:noFill/>
              </a:ln>
            </c:spPr>
          </c:marker>
          <c:dLbls>
            <c:dLbl>
              <c:idx val="0"/>
              <c:layout>
                <c:manualLayout>
                  <c:x val="-4.6304738223511693E-3"/>
                  <c:y val="-9.205640015282868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Рождаемость!$D$25</c:f>
              <c:numCache>
                <c:formatCode>0.0</c:formatCode>
                <c:ptCount val="1"/>
                <c:pt idx="0">
                  <c:v>-4.3534408613805455</c:v>
                </c:pt>
              </c:numCache>
            </c:numRef>
          </c:xVal>
          <c:yVal>
            <c:numRef>
              <c:f>Рождаемость!$B$25</c:f>
              <c:numCache>
                <c:formatCode>General</c:formatCode>
                <c:ptCount val="1"/>
                <c:pt idx="0">
                  <c:v>10.5</c:v>
                </c:pt>
              </c:numCache>
            </c:numRef>
          </c:yVal>
          <c:smooth val="0"/>
        </c:ser>
        <c:ser>
          <c:idx val="23"/>
          <c:order val="23"/>
          <c:tx>
            <c:strRef>
              <c:f>Рождаемость!$A$26</c:f>
              <c:strCache>
                <c:ptCount val="1"/>
                <c:pt idx="0">
                  <c:v>Хворостянский </c:v>
                </c:pt>
              </c:strCache>
            </c:strRef>
          </c:tx>
          <c:spPr>
            <a:ln w="47625">
              <a:noFill/>
            </a:ln>
          </c:spPr>
          <c:marker>
            <c:symbol val="circle"/>
            <c:size val="6"/>
            <c:spPr>
              <a:solidFill>
                <a:srgbClr val="4F81BD">
                  <a:lumMod val="50000"/>
                </a:srgbClr>
              </a:solidFill>
              <a:ln>
                <a:noFill/>
              </a:ln>
            </c:spPr>
          </c:marker>
          <c:dLbls>
            <c:dLbl>
              <c:idx val="0"/>
              <c:layout>
                <c:manualLayout>
                  <c:x val="1.8169439346396627E-3"/>
                  <c:y val="8.6117277562321112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Рождаемость!$D$26</c:f>
              <c:numCache>
                <c:formatCode>0.0</c:formatCode>
                <c:ptCount val="1"/>
                <c:pt idx="0">
                  <c:v>-0.78743425198753358</c:v>
                </c:pt>
              </c:numCache>
            </c:numRef>
          </c:xVal>
          <c:yVal>
            <c:numRef>
              <c:f>Рождаемость!$B$26</c:f>
              <c:numCache>
                <c:formatCode>General</c:formatCode>
                <c:ptCount val="1"/>
                <c:pt idx="0">
                  <c:v>12.5</c:v>
                </c:pt>
              </c:numCache>
            </c:numRef>
          </c:yVal>
          <c:smooth val="0"/>
        </c:ser>
        <c:ser>
          <c:idx val="24"/>
          <c:order val="24"/>
          <c:tx>
            <c:strRef>
              <c:f>Рождаемость!$A$27</c:f>
              <c:strCache>
                <c:ptCount val="1"/>
                <c:pt idx="0">
                  <c:v>Челно-Вершинский </c:v>
                </c:pt>
              </c:strCache>
            </c:strRef>
          </c:tx>
          <c:spPr>
            <a:ln w="47625">
              <a:noFill/>
            </a:ln>
          </c:spPr>
          <c:marker>
            <c:symbol val="circle"/>
            <c:size val="6"/>
            <c:spPr>
              <a:solidFill>
                <a:srgbClr val="4F81BD">
                  <a:lumMod val="50000"/>
                </a:srgbClr>
              </a:solidFill>
              <a:ln>
                <a:noFill/>
              </a:ln>
            </c:spPr>
          </c:marker>
          <c:dLbls>
            <c:dLbl>
              <c:idx val="0"/>
              <c:layout>
                <c:manualLayout>
                  <c:x val="3.4022063031594742E-3"/>
                  <c:y val="-2.9695612952535861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Рождаемость!$D$27</c:f>
              <c:numCache>
                <c:formatCode>0.0</c:formatCode>
                <c:ptCount val="1"/>
                <c:pt idx="0">
                  <c:v>-9.365571310611486</c:v>
                </c:pt>
              </c:numCache>
            </c:numRef>
          </c:xVal>
          <c:yVal>
            <c:numRef>
              <c:f>Рождаемость!$B$27</c:f>
              <c:numCache>
                <c:formatCode>General</c:formatCode>
                <c:ptCount val="1"/>
                <c:pt idx="0">
                  <c:v>10.200000000000001</c:v>
                </c:pt>
              </c:numCache>
            </c:numRef>
          </c:yVal>
          <c:smooth val="0"/>
        </c:ser>
        <c:ser>
          <c:idx val="25"/>
          <c:order val="25"/>
          <c:tx>
            <c:strRef>
              <c:f>Рождаемость!$A$28</c:f>
              <c:strCache>
                <c:ptCount val="1"/>
                <c:pt idx="0">
                  <c:v>Шенталинский</c:v>
                </c:pt>
              </c:strCache>
            </c:strRef>
          </c:tx>
          <c:spPr>
            <a:ln w="47625">
              <a:noFill/>
            </a:ln>
          </c:spPr>
          <c:marker>
            <c:symbol val="circle"/>
            <c:size val="6"/>
            <c:spPr>
              <a:solidFill>
                <a:srgbClr val="4F81BD">
                  <a:lumMod val="50000"/>
                </a:srgbClr>
              </a:solidFill>
              <a:ln>
                <a:noFill/>
              </a:ln>
            </c:spPr>
          </c:marker>
          <c:dLbls>
            <c:dLbl>
              <c:idx val="0"/>
              <c:layout>
                <c:manualLayout>
                  <c:x val="-8.7080299173129677E-2"/>
                  <c:y val="3.5337779413504647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Рождаемость!$D$28</c:f>
              <c:numCache>
                <c:formatCode>0.0</c:formatCode>
                <c:ptCount val="1"/>
                <c:pt idx="0">
                  <c:v>-4.0670722090412745</c:v>
                </c:pt>
              </c:numCache>
            </c:numRef>
          </c:xVal>
          <c:yVal>
            <c:numRef>
              <c:f>Рождаемость!$B$28</c:f>
              <c:numCache>
                <c:formatCode>General</c:formatCode>
                <c:ptCount val="1"/>
                <c:pt idx="0">
                  <c:v>9.8000000000000007</c:v>
                </c:pt>
              </c:numCache>
            </c:numRef>
          </c:yVal>
          <c:smooth val="0"/>
        </c:ser>
        <c:ser>
          <c:idx val="26"/>
          <c:order val="26"/>
          <c:tx>
            <c:strRef>
              <c:f>Рождаемость!$A$29</c:f>
              <c:strCache>
                <c:ptCount val="1"/>
                <c:pt idx="0">
                  <c:v>Шигонский</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Рождаемость!$D$29</c:f>
              <c:numCache>
                <c:formatCode>0.0</c:formatCode>
                <c:ptCount val="1"/>
                <c:pt idx="0">
                  <c:v>-6.9940544828743745</c:v>
                </c:pt>
              </c:numCache>
            </c:numRef>
          </c:xVal>
          <c:yVal>
            <c:numRef>
              <c:f>Рождаемость!$B$29</c:f>
              <c:numCache>
                <c:formatCode>General</c:formatCode>
                <c:ptCount val="1"/>
                <c:pt idx="0">
                  <c:v>10.7</c:v>
                </c:pt>
              </c:numCache>
            </c:numRef>
          </c:yVal>
          <c:smooth val="0"/>
        </c:ser>
        <c:dLbls>
          <c:showLegendKey val="0"/>
          <c:showVal val="1"/>
          <c:showCatName val="0"/>
          <c:showSerName val="0"/>
          <c:showPercent val="0"/>
          <c:showBubbleSize val="0"/>
        </c:dLbls>
        <c:axId val="273138432"/>
        <c:axId val="273140352"/>
      </c:scatterChart>
      <c:valAx>
        <c:axId val="273138432"/>
        <c:scaling>
          <c:orientation val="minMax"/>
          <c:max val="2"/>
          <c:min val="-12"/>
        </c:scaling>
        <c:delete val="0"/>
        <c:axPos val="b"/>
        <c:title>
          <c:tx>
            <c:rich>
              <a:bodyPr/>
              <a:lstStyle/>
              <a:p>
                <a:pPr>
                  <a:defRPr baseline="0"/>
                </a:pPr>
                <a:r>
                  <a:rPr lang="ru-RU" baseline="0"/>
                  <a:t>Среднегодовой темп снижения числа родившихся в расчете на 1000 чел. населения в 2014-2016 гг., %</a:t>
                </a:r>
              </a:p>
            </c:rich>
          </c:tx>
          <c:layout>
            <c:manualLayout>
              <c:xMode val="edge"/>
              <c:yMode val="edge"/>
              <c:x val="0.14963315953433942"/>
              <c:y val="0.89049961007270262"/>
            </c:manualLayout>
          </c:layout>
          <c:overlay val="0"/>
        </c:title>
        <c:numFmt formatCode="0.0" sourceLinked="1"/>
        <c:majorTickMark val="out"/>
        <c:minorTickMark val="none"/>
        <c:tickLblPos val="nextTo"/>
        <c:spPr>
          <a:ln>
            <a:noFill/>
          </a:ln>
        </c:spPr>
        <c:crossAx val="273140352"/>
        <c:crosses val="autoZero"/>
        <c:crossBetween val="midCat"/>
      </c:valAx>
      <c:valAx>
        <c:axId val="273140352"/>
        <c:scaling>
          <c:orientation val="minMax"/>
          <c:max val="16"/>
          <c:min val="9"/>
        </c:scaling>
        <c:delete val="0"/>
        <c:axPos val="l"/>
        <c:title>
          <c:tx>
            <c:rich>
              <a:bodyPr rot="-5400000" vert="horz"/>
              <a:lstStyle/>
              <a:p>
                <a:pPr>
                  <a:defRPr/>
                </a:pPr>
                <a:r>
                  <a:rPr lang="ru-RU"/>
                  <a:t>Число родившихся  (на 1000 чел. населения)</a:t>
                </a:r>
              </a:p>
            </c:rich>
          </c:tx>
          <c:overlay val="0"/>
        </c:title>
        <c:numFmt formatCode="General" sourceLinked="1"/>
        <c:majorTickMark val="out"/>
        <c:minorTickMark val="none"/>
        <c:tickLblPos val="low"/>
        <c:spPr>
          <a:ln>
            <a:noFill/>
          </a:ln>
        </c:spPr>
        <c:crossAx val="273138432"/>
        <c:crosses val="autoZero"/>
        <c:crossBetween val="midCat"/>
      </c:valAx>
      <c:spPr>
        <a:noFill/>
        <a:ln>
          <a:solidFill>
            <a:schemeClr val="tx1"/>
          </a:solidFill>
        </a:ln>
      </c:spPr>
    </c:plotArea>
    <c:plotVisOnly val="1"/>
    <c:dispBlanksAs val="gap"/>
    <c:showDLblsOverMax val="0"/>
  </c:chart>
  <c:spPr>
    <a:noFill/>
  </c:spPr>
  <c:txPr>
    <a:bodyPr/>
    <a:lstStyle/>
    <a:p>
      <a:pPr>
        <a:defRPr sz="700" baseline="0">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2712756163664"/>
          <c:y val="6.334168622376242E-2"/>
          <c:w val="0.57474183850542415"/>
          <c:h val="0.83013373763516363"/>
        </c:manualLayout>
      </c:layout>
      <c:radarChart>
        <c:radarStyle val="marker"/>
        <c:varyColors val="0"/>
        <c:ser>
          <c:idx val="0"/>
          <c:order val="0"/>
          <c:tx>
            <c:strRef>
              <c:f>сх!$D$7</c:f>
              <c:strCache>
                <c:ptCount val="1"/>
                <c:pt idx="0">
                  <c:v> Камышлинский район</c:v>
                </c:pt>
              </c:strCache>
            </c:strRef>
          </c:tx>
          <c:marker>
            <c:symbol val="none"/>
          </c:marker>
          <c:cat>
            <c:numRef>
              <c:f>сх!$C$8:$C$12</c:f>
              <c:numCache>
                <c:formatCode>General</c:formatCode>
                <c:ptCount val="5"/>
                <c:pt idx="0">
                  <c:v>2012</c:v>
                </c:pt>
                <c:pt idx="1">
                  <c:v>2013</c:v>
                </c:pt>
                <c:pt idx="2">
                  <c:v>2014</c:v>
                </c:pt>
                <c:pt idx="3">
                  <c:v>2015</c:v>
                </c:pt>
                <c:pt idx="4">
                  <c:v>2016</c:v>
                </c:pt>
              </c:numCache>
            </c:numRef>
          </c:cat>
          <c:val>
            <c:numRef>
              <c:f>сх!$D$8:$D$12</c:f>
              <c:numCache>
                <c:formatCode>General</c:formatCode>
                <c:ptCount val="5"/>
                <c:pt idx="0">
                  <c:v>101.3</c:v>
                </c:pt>
                <c:pt idx="1">
                  <c:v>103.4</c:v>
                </c:pt>
                <c:pt idx="2">
                  <c:v>105.1</c:v>
                </c:pt>
                <c:pt idx="3">
                  <c:v>102.4</c:v>
                </c:pt>
                <c:pt idx="4">
                  <c:v>101.8</c:v>
                </c:pt>
              </c:numCache>
            </c:numRef>
          </c:val>
        </c:ser>
        <c:ser>
          <c:idx val="1"/>
          <c:order val="1"/>
          <c:tx>
            <c:strRef>
              <c:f>сх!$E$7</c:f>
              <c:strCache>
                <c:ptCount val="1"/>
                <c:pt idx="0">
                  <c:v>Самарская область</c:v>
                </c:pt>
              </c:strCache>
            </c:strRef>
          </c:tx>
          <c:spPr>
            <a:ln>
              <a:solidFill>
                <a:srgbClr val="FF0000"/>
              </a:solidFill>
            </a:ln>
          </c:spPr>
          <c:marker>
            <c:symbol val="none"/>
          </c:marker>
          <c:dLbls>
            <c:dLbl>
              <c:idx val="0"/>
              <c:layout>
                <c:manualLayout>
                  <c:x val="4.9382716049383116E-2"/>
                  <c:y val="3.3229480305318734E-2"/>
                </c:manualLayout>
              </c:layout>
              <c:showLegendKey val="0"/>
              <c:showVal val="1"/>
              <c:showCatName val="0"/>
              <c:showSerName val="0"/>
              <c:showPercent val="0"/>
              <c:showBubbleSize val="0"/>
            </c:dLbl>
            <c:dLbl>
              <c:idx val="1"/>
              <c:layout>
                <c:manualLayout>
                  <c:x val="-1.7283950617284001E-2"/>
                  <c:y val="-3.7383165343483592E-2"/>
                </c:manualLayout>
              </c:layout>
              <c:showLegendKey val="0"/>
              <c:showVal val="1"/>
              <c:showCatName val="0"/>
              <c:showSerName val="0"/>
              <c:showPercent val="0"/>
              <c:showBubbleSize val="0"/>
            </c:dLbl>
            <c:dLbl>
              <c:idx val="2"/>
              <c:layout>
                <c:manualLayout>
                  <c:x val="2.9629629629629752E-2"/>
                  <c:y val="-7.4766330686967183E-2"/>
                </c:manualLayout>
              </c:layout>
              <c:showLegendKey val="0"/>
              <c:showVal val="1"/>
              <c:showCatName val="0"/>
              <c:showSerName val="0"/>
              <c:showPercent val="0"/>
              <c:showBubbleSize val="0"/>
            </c:dLbl>
            <c:dLbl>
              <c:idx val="3"/>
              <c:layout>
                <c:manualLayout>
                  <c:x val="-2.9629629629629752E-2"/>
                  <c:y val="-3.3229480305318734E-2"/>
                </c:manualLayout>
              </c:layout>
              <c:showLegendKey val="0"/>
              <c:showVal val="1"/>
              <c:showCatName val="0"/>
              <c:showSerName val="0"/>
              <c:showPercent val="0"/>
              <c:showBubbleSize val="0"/>
            </c:dLbl>
            <c:dLbl>
              <c:idx val="4"/>
              <c:layout>
                <c:manualLayout>
                  <c:x val="2.7160493827160494E-2"/>
                  <c:y val="-3.7383165343483592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сх!$C$8:$C$12</c:f>
              <c:numCache>
                <c:formatCode>General</c:formatCode>
                <c:ptCount val="5"/>
                <c:pt idx="0">
                  <c:v>2012</c:v>
                </c:pt>
                <c:pt idx="1">
                  <c:v>2013</c:v>
                </c:pt>
                <c:pt idx="2">
                  <c:v>2014</c:v>
                </c:pt>
                <c:pt idx="3">
                  <c:v>2015</c:v>
                </c:pt>
                <c:pt idx="4">
                  <c:v>2016</c:v>
                </c:pt>
              </c:numCache>
            </c:numRef>
          </c:cat>
          <c:val>
            <c:numRef>
              <c:f>сх!$E$8:$E$12</c:f>
              <c:numCache>
                <c:formatCode>General</c:formatCode>
                <c:ptCount val="5"/>
                <c:pt idx="0">
                  <c:v>107.1</c:v>
                </c:pt>
                <c:pt idx="1">
                  <c:v>106.2</c:v>
                </c:pt>
                <c:pt idx="2">
                  <c:v>103.8</c:v>
                </c:pt>
                <c:pt idx="3">
                  <c:v>93.5</c:v>
                </c:pt>
                <c:pt idx="4">
                  <c:v>115</c:v>
                </c:pt>
              </c:numCache>
            </c:numRef>
          </c:val>
        </c:ser>
        <c:dLbls>
          <c:showLegendKey val="0"/>
          <c:showVal val="0"/>
          <c:showCatName val="0"/>
          <c:showSerName val="0"/>
          <c:showPercent val="0"/>
          <c:showBubbleSize val="0"/>
        </c:dLbls>
        <c:axId val="282797952"/>
        <c:axId val="282799488"/>
      </c:radarChart>
      <c:catAx>
        <c:axId val="282797952"/>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82799488"/>
        <c:crosses val="autoZero"/>
        <c:auto val="0"/>
        <c:lblAlgn val="ctr"/>
        <c:lblOffset val="100"/>
        <c:noMultiLvlLbl val="0"/>
      </c:catAx>
      <c:valAx>
        <c:axId val="282799488"/>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82797952"/>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616463239979193E-2"/>
          <c:y val="2.8054254488680718E-2"/>
          <c:w val="0.90486386341183966"/>
          <c:h val="0.8588017174082776"/>
        </c:manualLayout>
      </c:layout>
      <c:barChart>
        <c:barDir val="col"/>
        <c:grouping val="stacked"/>
        <c:varyColors val="0"/>
        <c:ser>
          <c:idx val="0"/>
          <c:order val="0"/>
          <c:tx>
            <c:strRef>
              <c:f>сх2!$D$7</c:f>
              <c:strCache>
                <c:ptCount val="1"/>
                <c:pt idx="0">
                  <c:v>растениеводство</c:v>
                </c:pt>
              </c:strCache>
            </c:strRef>
          </c:tx>
          <c:spPr>
            <a:solidFill>
              <a:srgbClr val="C0504D"/>
            </a:solidFill>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сх2!$C$8:$C$12</c:f>
              <c:numCache>
                <c:formatCode>General</c:formatCode>
                <c:ptCount val="5"/>
                <c:pt idx="0">
                  <c:v>2012</c:v>
                </c:pt>
                <c:pt idx="1">
                  <c:v>2013</c:v>
                </c:pt>
                <c:pt idx="2">
                  <c:v>2014</c:v>
                </c:pt>
                <c:pt idx="3">
                  <c:v>2015</c:v>
                </c:pt>
                <c:pt idx="4">
                  <c:v>2016</c:v>
                </c:pt>
              </c:numCache>
            </c:numRef>
          </c:cat>
          <c:val>
            <c:numRef>
              <c:f>сх2!$D$8:$D$12</c:f>
              <c:numCache>
                <c:formatCode>General</c:formatCode>
                <c:ptCount val="5"/>
                <c:pt idx="0">
                  <c:v>181.4</c:v>
                </c:pt>
                <c:pt idx="1">
                  <c:v>275.60000000000002</c:v>
                </c:pt>
                <c:pt idx="2">
                  <c:v>284.3</c:v>
                </c:pt>
                <c:pt idx="3">
                  <c:v>317.89999999999969</c:v>
                </c:pt>
                <c:pt idx="4">
                  <c:v>366.2</c:v>
                </c:pt>
              </c:numCache>
            </c:numRef>
          </c:val>
        </c:ser>
        <c:ser>
          <c:idx val="1"/>
          <c:order val="1"/>
          <c:tx>
            <c:strRef>
              <c:f>сх2!$E$7</c:f>
              <c:strCache>
                <c:ptCount val="1"/>
                <c:pt idx="0">
                  <c:v>животноводство</c:v>
                </c:pt>
              </c:strCache>
            </c:strRef>
          </c:tx>
          <c:spPr>
            <a:solidFill>
              <a:sysClr val="window" lastClr="FFFFFF">
                <a:lumMod val="65000"/>
              </a:sysClr>
            </a:solidFill>
          </c:spPr>
          <c:invertIfNegative val="0"/>
          <c:dLbls>
            <c:dLbl>
              <c:idx val="0"/>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3"/>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4"/>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numRef>
              <c:f>сх2!$C$8:$C$12</c:f>
              <c:numCache>
                <c:formatCode>General</c:formatCode>
                <c:ptCount val="5"/>
                <c:pt idx="0">
                  <c:v>2012</c:v>
                </c:pt>
                <c:pt idx="1">
                  <c:v>2013</c:v>
                </c:pt>
                <c:pt idx="2">
                  <c:v>2014</c:v>
                </c:pt>
                <c:pt idx="3">
                  <c:v>2015</c:v>
                </c:pt>
                <c:pt idx="4">
                  <c:v>2016</c:v>
                </c:pt>
              </c:numCache>
            </c:numRef>
          </c:cat>
          <c:val>
            <c:numRef>
              <c:f>сх2!$E$8:$E$12</c:f>
              <c:numCache>
                <c:formatCode>General</c:formatCode>
                <c:ptCount val="5"/>
                <c:pt idx="0">
                  <c:v>254.2</c:v>
                </c:pt>
                <c:pt idx="1">
                  <c:v>224.3</c:v>
                </c:pt>
                <c:pt idx="2">
                  <c:v>243.5</c:v>
                </c:pt>
                <c:pt idx="3">
                  <c:v>275.60000000000002</c:v>
                </c:pt>
                <c:pt idx="4">
                  <c:v>267.89999999999969</c:v>
                </c:pt>
              </c:numCache>
            </c:numRef>
          </c:val>
        </c:ser>
        <c:dLbls>
          <c:showLegendKey val="0"/>
          <c:showVal val="0"/>
          <c:showCatName val="0"/>
          <c:showSerName val="0"/>
          <c:showPercent val="0"/>
          <c:showBubbleSize val="0"/>
        </c:dLbls>
        <c:gapWidth val="150"/>
        <c:overlap val="100"/>
        <c:axId val="282848256"/>
        <c:axId val="282870528"/>
      </c:barChart>
      <c:catAx>
        <c:axId val="28284825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82870528"/>
        <c:crosses val="autoZero"/>
        <c:auto val="1"/>
        <c:lblAlgn val="ctr"/>
        <c:lblOffset val="100"/>
        <c:noMultiLvlLbl val="0"/>
      </c:catAx>
      <c:valAx>
        <c:axId val="282870528"/>
        <c:scaling>
          <c:orientation val="minMax"/>
        </c:scaling>
        <c:delete val="0"/>
        <c:axPos val="l"/>
        <c:majorGridlines>
          <c:spPr>
            <a:ln>
              <a:solidFill>
                <a:sysClr val="window" lastClr="FFFFFF"/>
              </a:solidFill>
            </a:ln>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82848256"/>
        <c:crosses val="autoZero"/>
        <c:crossBetween val="between"/>
      </c:valAx>
    </c:plotArea>
    <c:legend>
      <c:legendPos val="b"/>
      <c:layout>
        <c:manualLayout>
          <c:xMode val="edge"/>
          <c:yMode val="edge"/>
          <c:x val="0.10132004483570962"/>
          <c:y val="5.3648647402681222E-2"/>
          <c:w val="0.47256388504053931"/>
          <c:h val="8.2768214424016634E-2"/>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266185476815402E-2"/>
          <c:y val="0.22852242306071838"/>
          <c:w val="0.89984492563429574"/>
          <c:h val="0.67864592538182811"/>
        </c:manualLayout>
      </c:layout>
      <c:barChart>
        <c:barDir val="col"/>
        <c:grouping val="clustered"/>
        <c:varyColors val="0"/>
        <c:ser>
          <c:idx val="0"/>
          <c:order val="0"/>
          <c:tx>
            <c:strRef>
              <c:f>сх5!$D$7</c:f>
              <c:strCache>
                <c:ptCount val="1"/>
                <c:pt idx="0">
                  <c:v>прибыль (убыток)</c:v>
                </c:pt>
              </c:strCache>
            </c:strRef>
          </c:tx>
          <c:spPr>
            <a:solidFill>
              <a:srgbClr val="C00000"/>
            </a:solidFill>
          </c:spPr>
          <c:invertIfNegative val="0"/>
          <c:dLbls>
            <c:showLegendKey val="0"/>
            <c:showVal val="1"/>
            <c:showCatName val="0"/>
            <c:showSerName val="0"/>
            <c:showPercent val="0"/>
            <c:showBubbleSize val="0"/>
            <c:showLeaderLines val="0"/>
          </c:dLbls>
          <c:cat>
            <c:numRef>
              <c:f>сх5!$C$8:$C$12</c:f>
              <c:numCache>
                <c:formatCode>General</c:formatCode>
                <c:ptCount val="5"/>
                <c:pt idx="0">
                  <c:v>2012</c:v>
                </c:pt>
                <c:pt idx="1">
                  <c:v>2013</c:v>
                </c:pt>
                <c:pt idx="2">
                  <c:v>2014</c:v>
                </c:pt>
                <c:pt idx="3">
                  <c:v>2015</c:v>
                </c:pt>
                <c:pt idx="4">
                  <c:v>2016</c:v>
                </c:pt>
              </c:numCache>
            </c:numRef>
          </c:cat>
          <c:val>
            <c:numRef>
              <c:f>сх5!$D$8:$D$12</c:f>
              <c:numCache>
                <c:formatCode>General</c:formatCode>
                <c:ptCount val="5"/>
                <c:pt idx="0">
                  <c:v>3746</c:v>
                </c:pt>
                <c:pt idx="1">
                  <c:v>5082</c:v>
                </c:pt>
                <c:pt idx="2">
                  <c:v>7967</c:v>
                </c:pt>
                <c:pt idx="3">
                  <c:v>2815</c:v>
                </c:pt>
                <c:pt idx="4">
                  <c:v>4902</c:v>
                </c:pt>
              </c:numCache>
            </c:numRef>
          </c:val>
        </c:ser>
        <c:dLbls>
          <c:showLegendKey val="0"/>
          <c:showVal val="0"/>
          <c:showCatName val="0"/>
          <c:showSerName val="0"/>
          <c:showPercent val="0"/>
          <c:showBubbleSize val="0"/>
        </c:dLbls>
        <c:gapWidth val="150"/>
        <c:axId val="282895104"/>
        <c:axId val="282896640"/>
      </c:barChart>
      <c:catAx>
        <c:axId val="282895104"/>
        <c:scaling>
          <c:orientation val="minMax"/>
        </c:scaling>
        <c:delete val="0"/>
        <c:axPos val="b"/>
        <c:numFmt formatCode="General" sourceLinked="1"/>
        <c:majorTickMark val="out"/>
        <c:minorTickMark val="none"/>
        <c:tickLblPos val="nextTo"/>
        <c:crossAx val="282896640"/>
        <c:crosses val="autoZero"/>
        <c:auto val="1"/>
        <c:lblAlgn val="ctr"/>
        <c:lblOffset val="100"/>
        <c:tickMarkSkip val="1"/>
        <c:noMultiLvlLbl val="0"/>
      </c:catAx>
      <c:valAx>
        <c:axId val="282896640"/>
        <c:scaling>
          <c:orientation val="minMax"/>
        </c:scaling>
        <c:delete val="0"/>
        <c:axPos val="l"/>
        <c:numFmt formatCode="General" sourceLinked="1"/>
        <c:majorTickMark val="out"/>
        <c:minorTickMark val="none"/>
        <c:tickLblPos val="nextTo"/>
        <c:crossAx val="282895104"/>
        <c:crosses val="autoZero"/>
        <c:crossBetween val="between"/>
      </c:valAx>
    </c:plotArea>
    <c:plotVisOnly val="1"/>
    <c:dispBlanksAs val="gap"/>
    <c:showDLblsOverMax val="0"/>
  </c:chart>
  <c:txPr>
    <a:bodyPr/>
    <a:lstStyle/>
    <a:p>
      <a:pPr>
        <a:defRPr baseline="0">
          <a:latin typeface="Times New Roman" pitchFamily="18" charset="0"/>
        </a:defRPr>
      </a:pPr>
      <a:endParaRPr lang="ru-RU"/>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2057116906954274"/>
          <c:y val="0.313918949039517"/>
          <c:w val="0.76507806054552485"/>
          <c:h val="0.6855187024932109"/>
        </c:manualLayout>
      </c:layout>
      <c:pieChart>
        <c:varyColors val="1"/>
        <c:ser>
          <c:idx val="0"/>
          <c:order val="0"/>
          <c:dPt>
            <c:idx val="0"/>
            <c:bubble3D val="0"/>
            <c:spPr>
              <a:solidFill>
                <a:schemeClr val="accent2">
                  <a:lumMod val="60000"/>
                  <a:lumOff val="40000"/>
                </a:schemeClr>
              </a:solidFill>
            </c:spPr>
          </c:dPt>
          <c:dPt>
            <c:idx val="2"/>
            <c:bubble3D val="0"/>
            <c:explosion val="34"/>
            <c:spPr>
              <a:solidFill>
                <a:srgbClr val="C00000"/>
              </a:solidFill>
            </c:spPr>
          </c:dPt>
          <c:dPt>
            <c:idx val="4"/>
            <c:bubble3D val="0"/>
            <c:spPr>
              <a:solidFill>
                <a:schemeClr val="accent1">
                  <a:lumMod val="75000"/>
                </a:schemeClr>
              </a:solidFill>
            </c:spPr>
          </c:dPt>
          <c:dPt>
            <c:idx val="6"/>
            <c:bubble3D val="0"/>
            <c:spPr>
              <a:solidFill>
                <a:schemeClr val="accent2">
                  <a:lumMod val="40000"/>
                  <a:lumOff val="60000"/>
                </a:schemeClr>
              </a:solidFill>
            </c:spPr>
          </c:dPt>
          <c:dPt>
            <c:idx val="7"/>
            <c:bubble3D val="0"/>
            <c:spPr>
              <a:solidFill>
                <a:schemeClr val="accent1">
                  <a:lumMod val="60000"/>
                  <a:lumOff val="40000"/>
                </a:schemeClr>
              </a:solidFill>
            </c:spPr>
          </c:dPt>
          <c:dLbls>
            <c:dLbl>
              <c:idx val="0"/>
              <c:tx>
                <c:rich>
                  <a:bodyPr/>
                  <a:lstStyle/>
                  <a:p>
                    <a:r>
                      <a:rPr lang="ru-RU"/>
                      <a:t>сельское хозяйство, охота и лесное хозяйство
</a:t>
                    </a:r>
                    <a:r>
                      <a:rPr lang="ru-RU" b="1"/>
                      <a:t>15%</a:t>
                    </a:r>
                  </a:p>
                </c:rich>
              </c:tx>
              <c:showLegendKey val="0"/>
              <c:showVal val="0"/>
              <c:showCatName val="0"/>
              <c:showSerName val="0"/>
              <c:showPercent val="0"/>
              <c:showBubbleSize val="0"/>
            </c:dLbl>
            <c:dLbl>
              <c:idx val="1"/>
              <c:tx>
                <c:rich>
                  <a:bodyPr/>
                  <a:lstStyle/>
                  <a:p>
                    <a:r>
                      <a:rPr lang="ru-RU"/>
                      <a:t>обрабатывающие производства
</a:t>
                    </a:r>
                    <a:r>
                      <a:rPr lang="ru-RU" b="1"/>
                      <a:t>7%</a:t>
                    </a:r>
                  </a:p>
                </c:rich>
              </c:tx>
              <c:showLegendKey val="0"/>
              <c:showVal val="0"/>
              <c:showCatName val="0"/>
              <c:showSerName val="0"/>
              <c:showPercent val="0"/>
              <c:showBubbleSize val="0"/>
            </c:dLbl>
            <c:dLbl>
              <c:idx val="2"/>
              <c:layout>
                <c:manualLayout>
                  <c:x val="0.21781539236744249"/>
                  <c:y val="-1.9221627842446931E-3"/>
                </c:manualLayout>
              </c:layout>
              <c:tx>
                <c:rich>
                  <a:bodyPr/>
                  <a:lstStyle/>
                  <a:p>
                    <a:r>
                      <a:rPr lang="ru-RU"/>
                      <a:t>оптовая и розничная торговля; ремонт автотранспортных средств, мотоциклов, бытовых изделий и предметов личного пользования
</a:t>
                    </a:r>
                    <a:r>
                      <a:rPr lang="ru-RU" b="1"/>
                      <a:t>50%</a:t>
                    </a:r>
                  </a:p>
                </c:rich>
              </c:tx>
              <c:dLblPos val="bestFit"/>
              <c:showLegendKey val="0"/>
              <c:showVal val="0"/>
              <c:showCatName val="0"/>
              <c:showSerName val="0"/>
              <c:showPercent val="0"/>
              <c:showBubbleSize val="0"/>
            </c:dLbl>
            <c:dLbl>
              <c:idx val="3"/>
              <c:tx>
                <c:rich>
                  <a:bodyPr/>
                  <a:lstStyle/>
                  <a:p>
                    <a:r>
                      <a:rPr lang="ru-RU"/>
                      <a:t>гостиницы и рестораны
</a:t>
                    </a:r>
                    <a:r>
                      <a:rPr lang="ru-RU" b="1"/>
                      <a:t>7%</a:t>
                    </a:r>
                  </a:p>
                </c:rich>
              </c:tx>
              <c:showLegendKey val="0"/>
              <c:showVal val="0"/>
              <c:showCatName val="0"/>
              <c:showSerName val="0"/>
              <c:showPercent val="0"/>
              <c:showBubbleSize val="0"/>
            </c:dLbl>
            <c:dLbl>
              <c:idx val="4"/>
              <c:tx>
                <c:rich>
                  <a:bodyPr/>
                  <a:lstStyle/>
                  <a:p>
                    <a:r>
                      <a:rPr lang="ru-RU"/>
                      <a:t>транспорт и связь
</a:t>
                    </a:r>
                    <a:r>
                      <a:rPr lang="ru-RU" b="1"/>
                      <a:t>9%</a:t>
                    </a:r>
                  </a:p>
                </c:rich>
              </c:tx>
              <c:showLegendKey val="0"/>
              <c:showVal val="0"/>
              <c:showCatName val="0"/>
              <c:showSerName val="0"/>
              <c:showPercent val="0"/>
              <c:showBubbleSize val="0"/>
            </c:dLbl>
            <c:dLbl>
              <c:idx val="5"/>
              <c:tx>
                <c:rich>
                  <a:bodyPr/>
                  <a:lstStyle/>
                  <a:p>
                    <a:r>
                      <a:rPr lang="ru-RU"/>
                      <a:t>предоставление прочих коммунальных, социальных и персональных услуг
</a:t>
                    </a:r>
                    <a:r>
                      <a:rPr lang="ru-RU" b="1"/>
                      <a:t>6%</a:t>
                    </a:r>
                  </a:p>
                </c:rich>
              </c:tx>
              <c:showLegendKey val="0"/>
              <c:showVal val="0"/>
              <c:showCatName val="0"/>
              <c:showSerName val="0"/>
              <c:showPercent val="0"/>
              <c:showBubbleSize val="0"/>
            </c:dLbl>
            <c:dLbl>
              <c:idx val="6"/>
              <c:layout>
                <c:manualLayout>
                  <c:x val="4.7089594150076589E-2"/>
                  <c:y val="3.017579637077741E-2"/>
                </c:manualLayout>
              </c:layout>
              <c:tx>
                <c:rich>
                  <a:bodyPr/>
                  <a:lstStyle/>
                  <a:p>
                    <a:r>
                      <a:rPr lang="ru-RU"/>
                      <a:t>рыболовство, рыбоводство; строительство; финансовая деятельность; образование
</a:t>
                    </a:r>
                    <a:r>
                      <a:rPr lang="ru-RU" b="1">
                        <a:solidFill>
                          <a:sysClr val="windowText" lastClr="000000"/>
                        </a:solidFill>
                      </a:rPr>
                      <a:t>3%</a:t>
                    </a:r>
                  </a:p>
                </c:rich>
              </c:tx>
              <c:dLblPos val="bestFit"/>
              <c:showLegendKey val="0"/>
              <c:showVal val="0"/>
              <c:showCatName val="0"/>
              <c:showSerName val="0"/>
              <c:showPercent val="0"/>
              <c:showBubbleSize val="0"/>
            </c:dLbl>
            <c:dLbl>
              <c:idx val="7"/>
              <c:layout>
                <c:manualLayout>
                  <c:x val="0.12893560179977503"/>
                  <c:y val="5.9957749183791103E-3"/>
                </c:manualLayout>
              </c:layout>
              <c:tx>
                <c:rich>
                  <a:bodyPr/>
                  <a:lstStyle/>
                  <a:p>
                    <a:r>
                      <a:rPr lang="ru-RU"/>
                      <a:t>операции с недвижимым имуществом, аренда и предоставление услуг
</a:t>
                    </a:r>
                    <a:r>
                      <a:rPr lang="ru-RU" b="1"/>
                      <a:t>3%</a:t>
                    </a:r>
                  </a:p>
                </c:rich>
              </c:tx>
              <c:dLblPos val="bestFit"/>
              <c:showLegendKey val="0"/>
              <c:showVal val="0"/>
              <c:showCatName val="0"/>
              <c:showSerName val="0"/>
              <c:showPercent val="0"/>
              <c:showBubbleSize val="0"/>
            </c:dLbl>
            <c:showLegendKey val="0"/>
            <c:showVal val="0"/>
            <c:showCatName val="1"/>
            <c:showSerName val="0"/>
            <c:showPercent val="1"/>
            <c:showBubbleSize val="0"/>
            <c:showLeaderLines val="1"/>
          </c:dLbls>
          <c:cat>
            <c:strRef>
              <c:f>мал_биз!$B$36:$B$43</c:f>
              <c:strCache>
                <c:ptCount val="8"/>
                <c:pt idx="0">
                  <c:v>сельское хозяйство, охота и лесное хозяйство</c:v>
                </c:pt>
                <c:pt idx="1">
                  <c:v>обрабатывающие производства</c:v>
                </c:pt>
                <c:pt idx="2">
                  <c:v>оптовая и розничная торговля; ремонт автотранспортных средств, мотоциклов, бытовых изделий и предметов личного пользования</c:v>
                </c:pt>
                <c:pt idx="3">
                  <c:v>гостиницы и рестораны</c:v>
                </c:pt>
                <c:pt idx="4">
                  <c:v>транспорт и связь</c:v>
                </c:pt>
                <c:pt idx="5">
                  <c:v>предоставление прочих коммунальных, социальных и персональных услуг</c:v>
                </c:pt>
                <c:pt idx="6">
                  <c:v>рыболовство, рыбоводство; строительство; финансовая деятельность; образование</c:v>
                </c:pt>
                <c:pt idx="7">
                  <c:v>операции с недвижимым имуществом, аренда и предоставление услуг</c:v>
                </c:pt>
              </c:strCache>
            </c:strRef>
          </c:cat>
          <c:val>
            <c:numRef>
              <c:f>мал_биз!$C$36:$C$43</c:f>
              <c:numCache>
                <c:formatCode>0.0</c:formatCode>
                <c:ptCount val="8"/>
                <c:pt idx="0">
                  <c:v>15.165876777251185</c:v>
                </c:pt>
                <c:pt idx="1">
                  <c:v>7.1090047393364744</c:v>
                </c:pt>
                <c:pt idx="2">
                  <c:v>49.763033175355453</c:v>
                </c:pt>
                <c:pt idx="3">
                  <c:v>6.6350710900473935</c:v>
                </c:pt>
                <c:pt idx="4">
                  <c:v>9.0047393364928947</c:v>
                </c:pt>
                <c:pt idx="5">
                  <c:v>5.6872037914692024</c:v>
                </c:pt>
                <c:pt idx="6">
                  <c:v>3.3175355450236972</c:v>
                </c:pt>
                <c:pt idx="7">
                  <c:v>3.3175355450236972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688226471691048E-2"/>
          <c:y val="2.605720447527226E-2"/>
          <c:w val="0.8834538807649015"/>
          <c:h val="0.89647866809931254"/>
        </c:manualLayout>
      </c:layout>
      <c:barChart>
        <c:barDir val="col"/>
        <c:grouping val="clustered"/>
        <c:varyColors val="0"/>
        <c:ser>
          <c:idx val="0"/>
          <c:order val="0"/>
          <c:tx>
            <c:strRef>
              <c:f>мал_биз1!$C$2</c:f>
              <c:strCache>
                <c:ptCount val="1"/>
                <c:pt idx="0">
                  <c:v>Число субъектов малого и среднего предпринимательства в расчете на 10 тыс. человек населения</c:v>
                </c:pt>
              </c:strCache>
            </c:strRef>
          </c:tx>
          <c:spPr>
            <a:solidFill>
              <a:srgbClr val="4F81BD">
                <a:lumMod val="75000"/>
              </a:srgbClr>
            </a:solidFill>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мал_биз1!$B$3:$B$7</c:f>
              <c:numCache>
                <c:formatCode>General</c:formatCode>
                <c:ptCount val="5"/>
                <c:pt idx="0">
                  <c:v>2012</c:v>
                </c:pt>
                <c:pt idx="1">
                  <c:v>2013</c:v>
                </c:pt>
                <c:pt idx="2">
                  <c:v>2014</c:v>
                </c:pt>
                <c:pt idx="3">
                  <c:v>2015</c:v>
                </c:pt>
                <c:pt idx="4">
                  <c:v>2016</c:v>
                </c:pt>
              </c:numCache>
            </c:numRef>
          </c:cat>
          <c:val>
            <c:numRef>
              <c:f>мал_биз1!$C$3:$C$7</c:f>
              <c:numCache>
                <c:formatCode>General</c:formatCode>
                <c:ptCount val="5"/>
                <c:pt idx="0">
                  <c:v>292</c:v>
                </c:pt>
                <c:pt idx="1">
                  <c:v>221</c:v>
                </c:pt>
                <c:pt idx="2">
                  <c:v>251</c:v>
                </c:pt>
                <c:pt idx="3">
                  <c:v>248</c:v>
                </c:pt>
                <c:pt idx="4">
                  <c:v>252</c:v>
                </c:pt>
              </c:numCache>
            </c:numRef>
          </c:val>
        </c:ser>
        <c:dLbls>
          <c:showLegendKey val="0"/>
          <c:showVal val="0"/>
          <c:showCatName val="0"/>
          <c:showSerName val="0"/>
          <c:showPercent val="0"/>
          <c:showBubbleSize val="0"/>
        </c:dLbls>
        <c:gapWidth val="150"/>
        <c:axId val="282970368"/>
        <c:axId val="282976256"/>
      </c:barChart>
      <c:catAx>
        <c:axId val="282970368"/>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82976256"/>
        <c:crosses val="autoZero"/>
        <c:auto val="1"/>
        <c:lblAlgn val="ctr"/>
        <c:lblOffset val="100"/>
        <c:noMultiLvlLbl val="0"/>
      </c:catAx>
      <c:valAx>
        <c:axId val="282976256"/>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82970368"/>
        <c:crosses val="autoZero"/>
        <c:crossBetween val="between"/>
      </c:valAx>
    </c:plotArea>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856238010676223E-2"/>
          <c:y val="3.0516442531794776E-2"/>
          <c:w val="0.92027964858823064"/>
          <c:h val="0.89702477939712377"/>
        </c:manualLayout>
      </c:layout>
      <c:barChart>
        <c:barDir val="col"/>
        <c:grouping val="clustered"/>
        <c:varyColors val="0"/>
        <c:ser>
          <c:idx val="0"/>
          <c:order val="0"/>
          <c:tx>
            <c:strRef>
              <c:f>мал_биз1!$G$2</c:f>
              <c:strCache>
                <c:ptCount val="1"/>
                <c:pt idx="0">
                  <c:v>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c:v>
                </c:pt>
              </c:strCache>
            </c:strRef>
          </c:tx>
          <c:spPr>
            <a:solidFill>
              <a:sysClr val="window" lastClr="FFFFFF">
                <a:lumMod val="65000"/>
              </a:sysClr>
            </a:solidFill>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мал_биз1!$F$3:$F$7</c:f>
              <c:numCache>
                <c:formatCode>General</c:formatCode>
                <c:ptCount val="5"/>
                <c:pt idx="0">
                  <c:v>2012</c:v>
                </c:pt>
                <c:pt idx="1">
                  <c:v>2013</c:v>
                </c:pt>
                <c:pt idx="2">
                  <c:v>2014</c:v>
                </c:pt>
                <c:pt idx="3">
                  <c:v>2015</c:v>
                </c:pt>
                <c:pt idx="4">
                  <c:v>2016</c:v>
                </c:pt>
              </c:numCache>
            </c:numRef>
          </c:cat>
          <c:val>
            <c:numRef>
              <c:f>мал_биз1!$G$3:$G$7</c:f>
              <c:numCache>
                <c:formatCode>General</c:formatCode>
                <c:ptCount val="5"/>
                <c:pt idx="0">
                  <c:v>63.5</c:v>
                </c:pt>
                <c:pt idx="1">
                  <c:v>26.4</c:v>
                </c:pt>
                <c:pt idx="2">
                  <c:v>26</c:v>
                </c:pt>
                <c:pt idx="3">
                  <c:v>28</c:v>
                </c:pt>
                <c:pt idx="4">
                  <c:v>29.3</c:v>
                </c:pt>
              </c:numCache>
            </c:numRef>
          </c:val>
        </c:ser>
        <c:dLbls>
          <c:showLegendKey val="0"/>
          <c:showVal val="0"/>
          <c:showCatName val="0"/>
          <c:showSerName val="0"/>
          <c:showPercent val="0"/>
          <c:showBubbleSize val="0"/>
        </c:dLbls>
        <c:gapWidth val="150"/>
        <c:axId val="283008384"/>
        <c:axId val="283014272"/>
      </c:barChart>
      <c:catAx>
        <c:axId val="283008384"/>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283014272"/>
        <c:crosses val="autoZero"/>
        <c:auto val="1"/>
        <c:lblAlgn val="ctr"/>
        <c:lblOffset val="100"/>
        <c:tickMarkSkip val="1"/>
        <c:noMultiLvlLbl val="0"/>
      </c:catAx>
      <c:valAx>
        <c:axId val="283014272"/>
        <c:scaling>
          <c:orientation val="minMax"/>
        </c:scaling>
        <c:delete val="0"/>
        <c:axPos val="l"/>
        <c:numFmt formatCode="General" sourceLinked="1"/>
        <c:majorTickMark val="none"/>
        <c:minorTickMark val="none"/>
        <c:tickLblPos val="nextTo"/>
        <c:txPr>
          <a:bodyPr rot="0"/>
          <a:lstStyle/>
          <a:p>
            <a:pPr>
              <a:defRPr>
                <a:latin typeface="Times New Roman" pitchFamily="18" charset="0"/>
                <a:cs typeface="Times New Roman" pitchFamily="18" charset="0"/>
              </a:defRPr>
            </a:pPr>
            <a:endParaRPr lang="ru-RU"/>
          </a:p>
        </c:txPr>
        <c:crossAx val="283008384"/>
        <c:crosses val="autoZero"/>
        <c:crossBetween val="between"/>
      </c:valAx>
    </c:plotArea>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63215709147474"/>
          <c:y val="2.0248023730761434E-3"/>
          <c:w val="0.86836784290852564"/>
          <c:h val="0.56276952067382269"/>
        </c:manualLayout>
      </c:layout>
      <c:barChart>
        <c:barDir val="col"/>
        <c:grouping val="clustered"/>
        <c:varyColors val="0"/>
        <c:ser>
          <c:idx val="0"/>
          <c:order val="0"/>
          <c:spPr>
            <a:solidFill>
              <a:schemeClr val="accent1">
                <a:lumMod val="75000"/>
              </a:schemeClr>
            </a:solidFill>
          </c:spPr>
          <c:invertIfNegative val="0"/>
          <c:dLbls>
            <c:showLegendKey val="0"/>
            <c:showVal val="1"/>
            <c:showCatName val="0"/>
            <c:showSerName val="0"/>
            <c:showPercent val="0"/>
            <c:showBubbleSize val="0"/>
            <c:showLeaderLines val="0"/>
          </c:dLbls>
          <c:cat>
            <c:strRef>
              <c:f>быт_обслуж!$C$7:$J$7</c:f>
              <c:strCache>
                <c:ptCount val="8"/>
                <c:pt idx="0">
                  <c:v>Автозаправочные станции</c:v>
                </c:pt>
                <c:pt idx="1">
                  <c:v>Магазины</c:v>
                </c:pt>
                <c:pt idx="2">
                  <c:v>Павильоны</c:v>
                </c:pt>
                <c:pt idx="3">
                  <c:v>Палатки</c:v>
                </c:pt>
                <c:pt idx="4">
                  <c:v>Аптеки и  аптечные магазины</c:v>
                </c:pt>
                <c:pt idx="5">
                  <c:v>Аптечные киоски и пункты</c:v>
                </c:pt>
                <c:pt idx="6">
                  <c:v>Общедоступные столовые, закусочные</c:v>
                </c:pt>
                <c:pt idx="7">
                  <c:v>Рестораны, кафе, бары</c:v>
                </c:pt>
              </c:strCache>
            </c:strRef>
          </c:cat>
          <c:val>
            <c:numRef>
              <c:f>быт_обслуж!$C$8:$J$8</c:f>
              <c:numCache>
                <c:formatCode>General</c:formatCode>
                <c:ptCount val="8"/>
                <c:pt idx="0">
                  <c:v>4</c:v>
                </c:pt>
                <c:pt idx="1">
                  <c:v>54</c:v>
                </c:pt>
                <c:pt idx="2">
                  <c:v>17</c:v>
                </c:pt>
                <c:pt idx="3">
                  <c:v>1</c:v>
                </c:pt>
                <c:pt idx="4">
                  <c:v>5</c:v>
                </c:pt>
                <c:pt idx="5">
                  <c:v>1</c:v>
                </c:pt>
                <c:pt idx="6">
                  <c:v>23</c:v>
                </c:pt>
                <c:pt idx="7">
                  <c:v>4</c:v>
                </c:pt>
              </c:numCache>
            </c:numRef>
          </c:val>
        </c:ser>
        <c:dLbls>
          <c:showLegendKey val="0"/>
          <c:showVal val="0"/>
          <c:showCatName val="0"/>
          <c:showSerName val="0"/>
          <c:showPercent val="0"/>
          <c:showBubbleSize val="0"/>
        </c:dLbls>
        <c:gapWidth val="150"/>
        <c:axId val="283042560"/>
        <c:axId val="283044096"/>
      </c:barChart>
      <c:catAx>
        <c:axId val="283042560"/>
        <c:scaling>
          <c:orientation val="minMax"/>
        </c:scaling>
        <c:delete val="0"/>
        <c:axPos val="b"/>
        <c:numFmt formatCode="General" sourceLinked="1"/>
        <c:majorTickMark val="out"/>
        <c:minorTickMark val="none"/>
        <c:tickLblPos val="nextTo"/>
        <c:crossAx val="283044096"/>
        <c:crosses val="autoZero"/>
        <c:auto val="1"/>
        <c:lblAlgn val="ctr"/>
        <c:lblOffset val="100"/>
        <c:noMultiLvlLbl val="0"/>
      </c:catAx>
      <c:valAx>
        <c:axId val="283044096"/>
        <c:scaling>
          <c:orientation val="minMax"/>
        </c:scaling>
        <c:delete val="1"/>
        <c:axPos val="l"/>
        <c:numFmt formatCode="General" sourceLinked="1"/>
        <c:majorTickMark val="out"/>
        <c:minorTickMark val="none"/>
        <c:tickLblPos val="none"/>
        <c:crossAx val="283042560"/>
        <c:crosses val="autoZero"/>
        <c:crossBetween val="between"/>
      </c:valAx>
    </c:plotArea>
    <c:plotVisOnly val="1"/>
    <c:dispBlanksAs val="gap"/>
    <c:showDLblsOverMax val="0"/>
  </c:chart>
  <c:spPr>
    <a:ln>
      <a:noFill/>
    </a:ln>
  </c:spPr>
  <c:txPr>
    <a:bodyPr/>
    <a:lstStyle/>
    <a:p>
      <a:pPr>
        <a:defRPr b="0">
          <a:latin typeface="Times New Roman" pitchFamily="18" charset="0"/>
          <a:cs typeface="Times New Roman"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82746009207963"/>
          <c:y val="0.1577138426934937"/>
          <c:w val="0.7153270270746358"/>
          <c:h val="0.80243489585005556"/>
        </c:manualLayout>
      </c:layout>
      <c:barChart>
        <c:barDir val="bar"/>
        <c:grouping val="clustered"/>
        <c:varyColors val="0"/>
        <c:ser>
          <c:idx val="0"/>
          <c:order val="0"/>
          <c:spPr>
            <a:solidFill>
              <a:schemeClr val="accent1">
                <a:lumMod val="60000"/>
                <a:lumOff val="40000"/>
              </a:schemeClr>
            </a:solidFill>
          </c:spPr>
          <c:invertIfNegative val="0"/>
          <c:dPt>
            <c:idx val="12"/>
            <c:invertIfNegative val="0"/>
            <c:bubble3D val="0"/>
            <c:spPr>
              <a:solidFill>
                <a:schemeClr val="tx2">
                  <a:lumMod val="40000"/>
                  <a:lumOff val="60000"/>
                </a:schemeClr>
              </a:solidFill>
              <a:ln>
                <a:solidFill>
                  <a:schemeClr val="tx2">
                    <a:lumMod val="60000"/>
                    <a:lumOff val="40000"/>
                  </a:schemeClr>
                </a:solidFill>
              </a:ln>
            </c:spPr>
          </c:dPt>
          <c:dPt>
            <c:idx val="16"/>
            <c:invertIfNegative val="0"/>
            <c:bubble3D val="0"/>
            <c:spPr>
              <a:solidFill>
                <a:srgbClr val="C00000"/>
              </a:solidFill>
              <a:ln>
                <a:solidFill>
                  <a:srgbClr val="FF0000"/>
                </a:solidFill>
              </a:ln>
            </c:spPr>
          </c:dPt>
          <c:dLbls>
            <c:txPr>
              <a:bodyPr/>
              <a:lstStyle/>
              <a:p>
                <a:pPr>
                  <a:defRPr>
                    <a:solidFill>
                      <a:sysClr val="windowText" lastClr="000000"/>
                    </a:solidFill>
                  </a:defRPr>
                </a:pPr>
                <a:endParaRPr lang="ru-RU"/>
              </a:p>
            </c:txPr>
            <c:dLblPos val="outEnd"/>
            <c:showLegendKey val="0"/>
            <c:showVal val="1"/>
            <c:showCatName val="0"/>
            <c:showSerName val="0"/>
            <c:showPercent val="0"/>
            <c:showBubbleSize val="0"/>
            <c:showLeaderLines val="0"/>
          </c:dLbls>
          <c:cat>
            <c:strRef>
              <c:f>'Дети 5-18'!$A$4:$A$30</c:f>
              <c:strCache>
                <c:ptCount val="27"/>
                <c:pt idx="0">
                  <c:v>Похвистневский</c:v>
                </c:pt>
                <c:pt idx="1">
                  <c:v>Хворостянский</c:v>
                </c:pt>
                <c:pt idx="2">
                  <c:v>Кинельский</c:v>
                </c:pt>
                <c:pt idx="3">
                  <c:v>Алексеевский</c:v>
                </c:pt>
                <c:pt idx="4">
                  <c:v>Сызранский</c:v>
                </c:pt>
                <c:pt idx="5">
                  <c:v>Челно-Вершинский</c:v>
                </c:pt>
                <c:pt idx="6">
                  <c:v>Елховский</c:v>
                </c:pt>
                <c:pt idx="7">
                  <c:v>Красноармейский</c:v>
                </c:pt>
                <c:pt idx="8">
                  <c:v>Шигонский</c:v>
                </c:pt>
                <c:pt idx="9">
                  <c:v>Шенталинский</c:v>
                </c:pt>
                <c:pt idx="10">
                  <c:v>Борский</c:v>
                </c:pt>
                <c:pt idx="11">
                  <c:v>Кинель-Черкасский</c:v>
                </c:pt>
                <c:pt idx="12">
                  <c:v>Пестравский</c:v>
                </c:pt>
                <c:pt idx="13">
                  <c:v>Исаклинский</c:v>
                </c:pt>
                <c:pt idx="14">
                  <c:v>Большеглушицкий</c:v>
                </c:pt>
                <c:pt idx="15">
                  <c:v>Клявлинский</c:v>
                </c:pt>
                <c:pt idx="16">
                  <c:v>Камышлинский</c:v>
                </c:pt>
                <c:pt idx="17">
                  <c:v>Нефтегорский</c:v>
                </c:pt>
                <c:pt idx="18">
                  <c:v>Большечерниговский</c:v>
                </c:pt>
                <c:pt idx="19">
                  <c:v>Приволжский</c:v>
                </c:pt>
                <c:pt idx="20">
                  <c:v>Богатовский</c:v>
                </c:pt>
                <c:pt idx="21">
                  <c:v>Сергиевский</c:v>
                </c:pt>
                <c:pt idx="22">
                  <c:v>Волжский</c:v>
                </c:pt>
                <c:pt idx="23">
                  <c:v>Безенчукский</c:v>
                </c:pt>
                <c:pt idx="24">
                  <c:v>Кошкинский</c:v>
                </c:pt>
                <c:pt idx="25">
                  <c:v>Красноярский</c:v>
                </c:pt>
                <c:pt idx="26">
                  <c:v>Ставропольский</c:v>
                </c:pt>
              </c:strCache>
            </c:strRef>
          </c:cat>
          <c:val>
            <c:numRef>
              <c:f>'Дети 5-18'!$B$4:$B$30</c:f>
              <c:numCache>
                <c:formatCode>General</c:formatCode>
                <c:ptCount val="27"/>
                <c:pt idx="0">
                  <c:v>19025.3</c:v>
                </c:pt>
                <c:pt idx="1">
                  <c:v>25562.799999999996</c:v>
                </c:pt>
                <c:pt idx="2">
                  <c:v>28614.799999999996</c:v>
                </c:pt>
                <c:pt idx="3">
                  <c:v>36254.400000000001</c:v>
                </c:pt>
                <c:pt idx="4">
                  <c:v>36629.699999999997</c:v>
                </c:pt>
                <c:pt idx="5">
                  <c:v>38144</c:v>
                </c:pt>
                <c:pt idx="6">
                  <c:v>40038.300000000003</c:v>
                </c:pt>
                <c:pt idx="7">
                  <c:v>40980</c:v>
                </c:pt>
                <c:pt idx="8">
                  <c:v>43774.1</c:v>
                </c:pt>
                <c:pt idx="9">
                  <c:v>44966.9</c:v>
                </c:pt>
                <c:pt idx="10">
                  <c:v>46644.7</c:v>
                </c:pt>
                <c:pt idx="11">
                  <c:v>46739.6</c:v>
                </c:pt>
                <c:pt idx="12">
                  <c:v>46825.1</c:v>
                </c:pt>
                <c:pt idx="13">
                  <c:v>48386.7</c:v>
                </c:pt>
                <c:pt idx="14">
                  <c:v>48845.8</c:v>
                </c:pt>
                <c:pt idx="15">
                  <c:v>51126.3</c:v>
                </c:pt>
                <c:pt idx="16">
                  <c:v>52070.5</c:v>
                </c:pt>
                <c:pt idx="17">
                  <c:v>54171.7</c:v>
                </c:pt>
                <c:pt idx="18">
                  <c:v>56759.5</c:v>
                </c:pt>
                <c:pt idx="19">
                  <c:v>57231</c:v>
                </c:pt>
                <c:pt idx="20">
                  <c:v>68092.899999999994</c:v>
                </c:pt>
                <c:pt idx="21">
                  <c:v>68124.800000000003</c:v>
                </c:pt>
                <c:pt idx="22">
                  <c:v>72918.7</c:v>
                </c:pt>
                <c:pt idx="23">
                  <c:v>73766.2</c:v>
                </c:pt>
                <c:pt idx="24">
                  <c:v>75100</c:v>
                </c:pt>
                <c:pt idx="25">
                  <c:v>86575.3</c:v>
                </c:pt>
                <c:pt idx="26">
                  <c:v>91184.6</c:v>
                </c:pt>
              </c:numCache>
            </c:numRef>
          </c:val>
        </c:ser>
        <c:ser>
          <c:idx val="1"/>
          <c:order val="1"/>
          <c:tx>
            <c:v>1</c:v>
          </c:tx>
          <c:spPr>
            <a:noFill/>
            <a:ln>
              <a:noFill/>
            </a:ln>
          </c:spPr>
          <c:invertIfNegative val="0"/>
          <c:dLbls>
            <c:delete val="1"/>
          </c:dLbls>
          <c:trendline>
            <c:spPr>
              <a:ln>
                <a:prstDash val="sysDash"/>
              </a:ln>
            </c:spPr>
            <c:trendlineType val="linear"/>
            <c:dispRSqr val="0"/>
            <c:dispEq val="0"/>
          </c:trendline>
          <c:val>
            <c:numRef>
              <c:f>'Дети 5-18'!$C$4:$C$30</c:f>
              <c:numCache>
                <c:formatCode>General</c:formatCode>
                <c:ptCount val="27"/>
                <c:pt idx="0">
                  <c:v>51798.285185185174</c:v>
                </c:pt>
                <c:pt idx="1">
                  <c:v>51798.285185185174</c:v>
                </c:pt>
                <c:pt idx="2">
                  <c:v>51798.285185185174</c:v>
                </c:pt>
                <c:pt idx="3">
                  <c:v>51798.285185185174</c:v>
                </c:pt>
                <c:pt idx="4">
                  <c:v>51798.285185185174</c:v>
                </c:pt>
                <c:pt idx="5">
                  <c:v>51798.285185185174</c:v>
                </c:pt>
                <c:pt idx="6">
                  <c:v>51798.285185185174</c:v>
                </c:pt>
                <c:pt idx="7">
                  <c:v>51798.285185185174</c:v>
                </c:pt>
                <c:pt idx="8">
                  <c:v>51798.285185185174</c:v>
                </c:pt>
                <c:pt idx="9">
                  <c:v>51798.285185185174</c:v>
                </c:pt>
                <c:pt idx="10">
                  <c:v>51798.285185185174</c:v>
                </c:pt>
                <c:pt idx="11">
                  <c:v>51798.285185185174</c:v>
                </c:pt>
                <c:pt idx="12">
                  <c:v>51798.285185185174</c:v>
                </c:pt>
                <c:pt idx="13">
                  <c:v>51798.285185185174</c:v>
                </c:pt>
                <c:pt idx="14">
                  <c:v>51798.285185185174</c:v>
                </c:pt>
                <c:pt idx="15">
                  <c:v>51798.285185185174</c:v>
                </c:pt>
                <c:pt idx="16">
                  <c:v>51798.285185185174</c:v>
                </c:pt>
                <c:pt idx="17">
                  <c:v>51798.285185185174</c:v>
                </c:pt>
                <c:pt idx="18">
                  <c:v>51798.285185185174</c:v>
                </c:pt>
                <c:pt idx="19">
                  <c:v>51798.285185185174</c:v>
                </c:pt>
                <c:pt idx="20">
                  <c:v>51798.285185185174</c:v>
                </c:pt>
                <c:pt idx="21">
                  <c:v>51798.285185185174</c:v>
                </c:pt>
                <c:pt idx="22">
                  <c:v>51798.285185185174</c:v>
                </c:pt>
                <c:pt idx="23">
                  <c:v>51798.285185185174</c:v>
                </c:pt>
                <c:pt idx="24">
                  <c:v>51798.285185185174</c:v>
                </c:pt>
                <c:pt idx="25">
                  <c:v>51798.285185185174</c:v>
                </c:pt>
                <c:pt idx="26">
                  <c:v>51798.285185185174</c:v>
                </c:pt>
              </c:numCache>
            </c:numRef>
          </c:val>
        </c:ser>
        <c:dLbls>
          <c:showLegendKey val="0"/>
          <c:showVal val="1"/>
          <c:showCatName val="0"/>
          <c:showSerName val="0"/>
          <c:showPercent val="0"/>
          <c:showBubbleSize val="0"/>
        </c:dLbls>
        <c:gapWidth val="150"/>
        <c:axId val="283104000"/>
        <c:axId val="283105536"/>
      </c:barChart>
      <c:catAx>
        <c:axId val="283104000"/>
        <c:scaling>
          <c:orientation val="minMax"/>
        </c:scaling>
        <c:delete val="0"/>
        <c:axPos val="l"/>
        <c:numFmt formatCode="General" sourceLinked="1"/>
        <c:majorTickMark val="out"/>
        <c:minorTickMark val="none"/>
        <c:tickLblPos val="nextTo"/>
        <c:txPr>
          <a:bodyPr/>
          <a:lstStyle/>
          <a:p>
            <a:pPr>
              <a:defRPr>
                <a:solidFill>
                  <a:sysClr val="windowText" lastClr="000000"/>
                </a:solidFill>
              </a:defRPr>
            </a:pPr>
            <a:endParaRPr lang="ru-RU"/>
          </a:p>
        </c:txPr>
        <c:crossAx val="283105536"/>
        <c:crosses val="autoZero"/>
        <c:auto val="1"/>
        <c:lblAlgn val="ctr"/>
        <c:lblOffset val="100"/>
        <c:noMultiLvlLbl val="0"/>
      </c:catAx>
      <c:valAx>
        <c:axId val="283105536"/>
        <c:scaling>
          <c:orientation val="minMax"/>
        </c:scaling>
        <c:delete val="1"/>
        <c:axPos val="b"/>
        <c:numFmt formatCode="General" sourceLinked="1"/>
        <c:majorTickMark val="out"/>
        <c:minorTickMark val="none"/>
        <c:tickLblPos val="none"/>
        <c:crossAx val="283104000"/>
        <c:crosses val="autoZero"/>
        <c:crossBetween val="between"/>
      </c:valAx>
      <c:spPr>
        <a:noFill/>
        <a:ln w="25400">
          <a:noFill/>
        </a:ln>
      </c:spPr>
    </c:plotArea>
    <c:plotVisOnly val="1"/>
    <c:dispBlanksAs val="gap"/>
    <c:showDLblsOverMax val="0"/>
  </c:chart>
  <c:spPr>
    <a:noFill/>
  </c:spPr>
  <c:txPr>
    <a:bodyPr/>
    <a:lstStyle/>
    <a:p>
      <a:pPr>
        <a:defRPr sz="800">
          <a:solidFill>
            <a:schemeClr val="accent1">
              <a:lumMod val="50000"/>
            </a:schemeClr>
          </a:solidFill>
          <a:latin typeface="Times New Roman" pitchFamily="18" charset="0"/>
          <a:cs typeface="Times New Roman" pitchFamily="18" charset="0"/>
        </a:defRPr>
      </a:pPr>
      <a:endParaRPr lang="ru-RU"/>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lgn="ctr">
              <a:defRPr/>
            </a:pPr>
            <a:r>
              <a:rPr lang="ru-RU"/>
              <a:t>Камышлинский район занимает 1 место по обороту общественного питания на душу населения в 2016 году по ым м Самасрской </a:t>
            </a:r>
          </a:p>
        </c:rich>
      </c:tx>
      <c:layout>
        <c:manualLayout>
          <c:xMode val="edge"/>
          <c:yMode val="edge"/>
          <c:x val="0.10627640510453452"/>
          <c:y val="0"/>
        </c:manualLayout>
      </c:layout>
      <c:overlay val="0"/>
    </c:title>
    <c:autoTitleDeleted val="0"/>
    <c:plotArea>
      <c:layout>
        <c:manualLayout>
          <c:layoutTarget val="inner"/>
          <c:xMode val="edge"/>
          <c:yMode val="edge"/>
          <c:x val="0.24723842252769346"/>
          <c:y val="0.16230139048115941"/>
          <c:w val="0.72793944372061403"/>
          <c:h val="0.81742919735839614"/>
        </c:manualLayout>
      </c:layout>
      <c:barChart>
        <c:barDir val="bar"/>
        <c:grouping val="clustered"/>
        <c:varyColors val="0"/>
        <c:ser>
          <c:idx val="0"/>
          <c:order val="0"/>
          <c:tx>
            <c:strRef>
              <c:f>Возраст!$B$2</c:f>
              <c:strCache>
                <c:ptCount val="1"/>
                <c:pt idx="0">
                  <c:v>До 17 лет</c:v>
                </c:pt>
              </c:strCache>
            </c:strRef>
          </c:tx>
          <c:invertIfNegative val="0"/>
          <c:dPt>
            <c:idx val="26"/>
            <c:invertIfNegative val="0"/>
            <c:bubble3D val="0"/>
            <c:spPr>
              <a:solidFill>
                <a:srgbClr val="C00000"/>
              </a:solidFill>
              <a:ln>
                <a:solidFill>
                  <a:srgbClr val="FF0000"/>
                </a:solidFill>
              </a:ln>
            </c:spPr>
          </c:dPt>
          <c:dLbls>
            <c:dLbl>
              <c:idx val="2"/>
              <c:layout>
                <c:manualLayout>
                  <c:x val="-3.595780535049265E-4"/>
                  <c:y val="0"/>
                </c:manualLayout>
              </c:layout>
              <c:dLblPos val="outEnd"/>
              <c:showLegendKey val="0"/>
              <c:showVal val="1"/>
              <c:showCatName val="0"/>
              <c:showSerName val="0"/>
              <c:showPercent val="0"/>
              <c:showBubbleSize val="0"/>
            </c:dLbl>
            <c:dLbl>
              <c:idx val="3"/>
              <c:layout>
                <c:manualLayout>
                  <c:x val="2.5873308106098493E-3"/>
                  <c:y val="0"/>
                </c:manualLayout>
              </c:layout>
              <c:dLblPos val="outEnd"/>
              <c:showLegendKey val="0"/>
              <c:showVal val="1"/>
              <c:showCatName val="0"/>
              <c:showSerName val="0"/>
              <c:showPercent val="0"/>
              <c:showBubbleSize val="0"/>
            </c:dLbl>
            <c:dLbl>
              <c:idx val="4"/>
              <c:layout>
                <c:manualLayout>
                  <c:x val="7.8497880072683334E-3"/>
                  <c:y val="0"/>
                </c:manualLayout>
              </c:layout>
              <c:dLblPos val="outEnd"/>
              <c:showLegendKey val="0"/>
              <c:showVal val="1"/>
              <c:showCatName val="0"/>
              <c:showSerName val="0"/>
              <c:showPercent val="0"/>
              <c:showBubbleSize val="0"/>
            </c:dLbl>
            <c:dLbl>
              <c:idx val="5"/>
              <c:layout>
                <c:manualLayout>
                  <c:x val="1.5590671120413081E-2"/>
                  <c:y val="0"/>
                </c:manualLayout>
              </c:layout>
              <c:dLblPos val="outEnd"/>
              <c:showLegendKey val="0"/>
              <c:showVal val="1"/>
              <c:showCatName val="0"/>
              <c:showSerName val="0"/>
              <c:showPercent val="0"/>
              <c:showBubbleSize val="0"/>
            </c:dLbl>
            <c:dLbl>
              <c:idx val="6"/>
              <c:layout>
                <c:manualLayout>
                  <c:x val="5.956905805662366E-3"/>
                  <c:y val="0"/>
                </c:manualLayout>
              </c:layout>
              <c:dLblPos val="outEnd"/>
              <c:showLegendKey val="0"/>
              <c:showVal val="1"/>
              <c:showCatName val="0"/>
              <c:showSerName val="0"/>
              <c:showPercent val="0"/>
              <c:showBubbleSize val="0"/>
            </c:dLbl>
            <c:dLbl>
              <c:idx val="7"/>
              <c:layout>
                <c:manualLayout>
                  <c:x val="2.260376249617722E-3"/>
                  <c:y val="0"/>
                </c:manualLayout>
              </c:layout>
              <c:dLblPos val="outEnd"/>
              <c:showLegendKey val="0"/>
              <c:showVal val="1"/>
              <c:showCatName val="0"/>
              <c:showSerName val="0"/>
              <c:showPercent val="0"/>
              <c:showBubbleSize val="0"/>
            </c:dLbl>
            <c:dLbl>
              <c:idx val="8"/>
              <c:layout>
                <c:manualLayout>
                  <c:x val="1.9101534623480662E-3"/>
                  <c:y val="8.7578600628457038E-17"/>
                </c:manualLayout>
              </c:layout>
              <c:dLblPos val="outEnd"/>
              <c:showLegendKey val="0"/>
              <c:showVal val="1"/>
              <c:showCatName val="0"/>
              <c:showSerName val="0"/>
              <c:showPercent val="0"/>
              <c:showBubbleSize val="0"/>
            </c:dLbl>
            <c:dLbl>
              <c:idx val="9"/>
              <c:layout>
                <c:manualLayout>
                  <c:x val="-2.4832234889146229E-3"/>
                  <c:y val="0"/>
                </c:manualLayout>
              </c:layout>
              <c:dLblPos val="outEnd"/>
              <c:showLegendKey val="0"/>
              <c:showVal val="1"/>
              <c:showCatName val="0"/>
              <c:showSerName val="0"/>
              <c:showPercent val="0"/>
              <c:showBubbleSize val="0"/>
            </c:dLbl>
            <c:dLbl>
              <c:idx val="10"/>
              <c:layout>
                <c:manualLayout>
                  <c:x val="-1.1082632188112821E-2"/>
                  <c:y val="0"/>
                </c:manualLayout>
              </c:layout>
              <c:dLblPos val="outEnd"/>
              <c:showLegendKey val="0"/>
              <c:showVal val="1"/>
              <c:showCatName val="0"/>
              <c:showSerName val="0"/>
              <c:showPercent val="0"/>
              <c:showBubbleSize val="0"/>
            </c:dLbl>
            <c:dLbl>
              <c:idx val="11"/>
              <c:layout>
                <c:manualLayout>
                  <c:x val="-6.8293443517580192E-4"/>
                  <c:y val="0"/>
                </c:manualLayout>
              </c:layout>
              <c:dLblPos val="outEnd"/>
              <c:showLegendKey val="0"/>
              <c:showVal val="1"/>
              <c:showCatName val="0"/>
              <c:showSerName val="0"/>
              <c:showPercent val="0"/>
              <c:showBubbleSize val="0"/>
            </c:dLbl>
            <c:dLbl>
              <c:idx val="12"/>
              <c:layout>
                <c:manualLayout>
                  <c:x val="-1.1807545382036768E-2"/>
                  <c:y val="-2.388534882107024E-3"/>
                </c:manualLayout>
              </c:layout>
              <c:dLblPos val="outEnd"/>
              <c:showLegendKey val="0"/>
              <c:showVal val="1"/>
              <c:showCatName val="0"/>
              <c:showSerName val="0"/>
              <c:showPercent val="0"/>
              <c:showBubbleSize val="0"/>
            </c:dLbl>
            <c:dLbl>
              <c:idx val="13"/>
              <c:layout>
                <c:manualLayout>
                  <c:x val="-1.270828960545964E-2"/>
                  <c:y val="0"/>
                </c:manualLayout>
              </c:layout>
              <c:dLblPos val="outEnd"/>
              <c:showLegendKey val="0"/>
              <c:showVal val="1"/>
              <c:showCatName val="0"/>
              <c:showSerName val="0"/>
              <c:showPercent val="0"/>
              <c:showBubbleSize val="0"/>
            </c:dLbl>
            <c:dLbl>
              <c:idx val="14"/>
              <c:layout>
                <c:manualLayout>
                  <c:x val="-1.2881721848744561E-2"/>
                  <c:y val="0"/>
                </c:manualLayout>
              </c:layout>
              <c:dLblPos val="outEnd"/>
              <c:showLegendKey val="0"/>
              <c:showVal val="1"/>
              <c:showCatName val="0"/>
              <c:showSerName val="0"/>
              <c:showPercent val="0"/>
              <c:showBubbleSize val="0"/>
            </c:dLbl>
            <c:dLbl>
              <c:idx val="15"/>
              <c:layout>
                <c:manualLayout>
                  <c:x val="-2.1814801710334591E-2"/>
                  <c:y val="0"/>
                </c:manualLayout>
              </c:layout>
              <c:dLblPos val="outEnd"/>
              <c:showLegendKey val="0"/>
              <c:showVal val="1"/>
              <c:showCatName val="0"/>
              <c:showSerName val="0"/>
              <c:showPercent val="0"/>
              <c:showBubbleSize val="0"/>
            </c:dLbl>
            <c:dLbl>
              <c:idx val="16"/>
              <c:layout>
                <c:manualLayout>
                  <c:x val="-8.4075058020641746E-3"/>
                  <c:y val="-2.388534882107024E-3"/>
                </c:manualLayout>
              </c:layout>
              <c:dLblPos val="outEnd"/>
              <c:showLegendKey val="0"/>
              <c:showVal val="1"/>
              <c:showCatName val="0"/>
              <c:showSerName val="0"/>
              <c:showPercent val="0"/>
              <c:showBubbleSize val="0"/>
            </c:dLbl>
            <c:dLbl>
              <c:idx val="17"/>
              <c:layout>
                <c:manualLayout>
                  <c:x val="-6.1715971718310841E-3"/>
                  <c:y val="-2.388534882107024E-3"/>
                </c:manualLayout>
              </c:layout>
              <c:dLblPos val="outEnd"/>
              <c:showLegendKey val="0"/>
              <c:showVal val="1"/>
              <c:showCatName val="0"/>
              <c:showSerName val="0"/>
              <c:showPercent val="0"/>
              <c:showBubbleSize val="0"/>
            </c:dLbl>
            <c:dLbl>
              <c:idx val="18"/>
              <c:layout>
                <c:manualLayout>
                  <c:x val="-5.411661699180275E-4"/>
                  <c:y val="-4.3789300314228581E-17"/>
                </c:manualLayout>
              </c:layout>
              <c:dLblPos val="outEnd"/>
              <c:showLegendKey val="0"/>
              <c:showVal val="1"/>
              <c:showCatName val="0"/>
              <c:showSerName val="0"/>
              <c:showPercent val="0"/>
              <c:showBubbleSize val="0"/>
            </c:dLbl>
            <c:dLbl>
              <c:idx val="19"/>
              <c:layout>
                <c:manualLayout>
                  <c:x val="-3.7082836084941229E-3"/>
                  <c:y val="0"/>
                </c:manualLayout>
              </c:layout>
              <c:dLblPos val="outEnd"/>
              <c:showLegendKey val="0"/>
              <c:showVal val="1"/>
              <c:showCatName val="0"/>
              <c:showSerName val="0"/>
              <c:showPercent val="0"/>
              <c:showBubbleSize val="0"/>
            </c:dLbl>
            <c:dLbl>
              <c:idx val="20"/>
              <c:layout>
                <c:manualLayout>
                  <c:x val="-3.7646550845272402E-3"/>
                  <c:y val="0"/>
                </c:manualLayout>
              </c:layout>
              <c:dLblPos val="outEnd"/>
              <c:showLegendKey val="0"/>
              <c:showVal val="1"/>
              <c:showCatName val="0"/>
              <c:showSerName val="0"/>
              <c:showPercent val="0"/>
              <c:showBubbleSize val="0"/>
            </c:dLbl>
            <c:dLbl>
              <c:idx val="21"/>
              <c:layout>
                <c:manualLayout>
                  <c:x val="-2.3604056347488168E-3"/>
                  <c:y val="0"/>
                </c:manualLayout>
              </c:layout>
              <c:dLblPos val="outEnd"/>
              <c:showLegendKey val="0"/>
              <c:showVal val="1"/>
              <c:showCatName val="0"/>
              <c:showSerName val="0"/>
              <c:showPercent val="0"/>
              <c:showBubbleSize val="0"/>
            </c:dLbl>
            <c:dLbl>
              <c:idx val="22"/>
              <c:layout>
                <c:manualLayout>
                  <c:x val="-1.6231626796840797E-2"/>
                  <c:y val="0"/>
                </c:manualLayout>
              </c:layout>
              <c:dLblPos val="outEnd"/>
              <c:showLegendKey val="0"/>
              <c:showVal val="1"/>
              <c:showCatName val="0"/>
              <c:showSerName val="0"/>
              <c:showPercent val="0"/>
              <c:showBubbleSize val="0"/>
            </c:dLbl>
            <c:dLbl>
              <c:idx val="23"/>
              <c:layout>
                <c:manualLayout>
                  <c:x val="-4.3842615636487938E-3"/>
                  <c:y val="0"/>
                </c:manualLayout>
              </c:layout>
              <c:dLblPos val="outEnd"/>
              <c:showLegendKey val="0"/>
              <c:showVal val="1"/>
              <c:showCatName val="0"/>
              <c:showSerName val="0"/>
              <c:showPercent val="0"/>
              <c:showBubbleSize val="0"/>
            </c:dLbl>
            <c:dLbl>
              <c:idx val="24"/>
              <c:layout>
                <c:manualLayout>
                  <c:x val="-1.1630994716673363E-2"/>
                  <c:y val="0"/>
                </c:manualLayout>
              </c:layout>
              <c:dLblPos val="outEnd"/>
              <c:showLegendKey val="0"/>
              <c:showVal val="1"/>
              <c:showCatName val="0"/>
              <c:showSerName val="0"/>
              <c:showPercent val="0"/>
              <c:showBubbleSize val="0"/>
            </c:dLbl>
            <c:dLbl>
              <c:idx val="25"/>
              <c:layout>
                <c:manualLayout>
                  <c:x val="-1.0817086554203574E-2"/>
                  <c:y val="-2.1894650157114321E-17"/>
                </c:manualLayout>
              </c:layout>
              <c:dLblPos val="outEnd"/>
              <c:showLegendKey val="0"/>
              <c:showVal val="1"/>
              <c:showCatName val="0"/>
              <c:showSerName val="0"/>
              <c:showPercent val="0"/>
              <c:showBubbleSize val="0"/>
            </c:dLbl>
            <c:dLbl>
              <c:idx val="26"/>
              <c:layout>
                <c:manualLayout>
                  <c:x val="-7.5041229138056425E-3"/>
                  <c:y val="-2.388534882107024E-3"/>
                </c:manualLayout>
              </c:layout>
              <c:dLblPos val="outEnd"/>
              <c:showLegendKey val="0"/>
              <c:showVal val="1"/>
              <c:showCatName val="0"/>
              <c:showSerName val="0"/>
              <c:showPercent val="0"/>
              <c:showBubbleSize val="0"/>
            </c:dLbl>
            <c:txPr>
              <a:bodyPr/>
              <a:lstStyle/>
              <a:p>
                <a:pPr>
                  <a:defRPr sz="1000" b="0">
                    <a:solidFill>
                      <a:sysClr val="windowText" lastClr="000000"/>
                    </a:solidFill>
                  </a:defRPr>
                </a:pPr>
                <a:endParaRPr lang="ru-RU"/>
              </a:p>
            </c:txPr>
            <c:dLblPos val="inBase"/>
            <c:showLegendKey val="0"/>
            <c:showVal val="1"/>
            <c:showCatName val="0"/>
            <c:showSerName val="0"/>
            <c:showPercent val="0"/>
            <c:showBubbleSize val="0"/>
            <c:showLeaderLines val="0"/>
          </c:dLbls>
          <c:cat>
            <c:strRef>
              <c:f>Возраст!$A$3:$A$29</c:f>
              <c:strCache>
                <c:ptCount val="27"/>
                <c:pt idx="0">
                  <c:v>Пестравский</c:v>
                </c:pt>
                <c:pt idx="1">
                  <c:v>Сызранский</c:v>
                </c:pt>
                <c:pt idx="2">
                  <c:v>Борский</c:v>
                </c:pt>
                <c:pt idx="3">
                  <c:v>Большеглушицкий</c:v>
                </c:pt>
                <c:pt idx="4">
                  <c:v>Алексеевский</c:v>
                </c:pt>
                <c:pt idx="5">
                  <c:v>Хворостянский</c:v>
                </c:pt>
                <c:pt idx="6">
                  <c:v>Красноярский</c:v>
                </c:pt>
                <c:pt idx="7">
                  <c:v>Похвистневский</c:v>
                </c:pt>
                <c:pt idx="8">
                  <c:v>Безенчукский</c:v>
                </c:pt>
                <c:pt idx="9">
                  <c:v>Челно-Вершинский</c:v>
                </c:pt>
                <c:pt idx="10">
                  <c:v>Большечерниговский</c:v>
                </c:pt>
                <c:pt idx="11">
                  <c:v>Приволжский</c:v>
                </c:pt>
                <c:pt idx="12">
                  <c:v>Нефтегорский</c:v>
                </c:pt>
                <c:pt idx="13">
                  <c:v>Сергиевский</c:v>
                </c:pt>
                <c:pt idx="14">
                  <c:v>Шенталинский</c:v>
                </c:pt>
                <c:pt idx="15">
                  <c:v>Исаклинский</c:v>
                </c:pt>
                <c:pt idx="16">
                  <c:v>Кинельский</c:v>
                </c:pt>
                <c:pt idx="17">
                  <c:v>Шигонский</c:v>
                </c:pt>
                <c:pt idx="18">
                  <c:v>Кинель-Черкасский</c:v>
                </c:pt>
                <c:pt idx="19">
                  <c:v>Клявлинский</c:v>
                </c:pt>
                <c:pt idx="20">
                  <c:v>Елховский</c:v>
                </c:pt>
                <c:pt idx="21">
                  <c:v>Красноармейский</c:v>
                </c:pt>
                <c:pt idx="22">
                  <c:v>Волжский</c:v>
                </c:pt>
                <c:pt idx="23">
                  <c:v>Кошкинский</c:v>
                </c:pt>
                <c:pt idx="24">
                  <c:v>Ставропольский</c:v>
                </c:pt>
                <c:pt idx="25">
                  <c:v>Богатовский</c:v>
                </c:pt>
                <c:pt idx="26">
                  <c:v>Камышлинский</c:v>
                </c:pt>
              </c:strCache>
            </c:strRef>
          </c:cat>
          <c:val>
            <c:numRef>
              <c:f>Возраст!$B$3:$B$29</c:f>
              <c:numCache>
                <c:formatCode>General</c:formatCode>
                <c:ptCount val="27"/>
                <c:pt idx="0">
                  <c:v>238.6</c:v>
                </c:pt>
                <c:pt idx="1">
                  <c:v>391.3</c:v>
                </c:pt>
                <c:pt idx="2">
                  <c:v>422.3</c:v>
                </c:pt>
                <c:pt idx="3">
                  <c:v>424</c:v>
                </c:pt>
                <c:pt idx="4">
                  <c:v>490.2</c:v>
                </c:pt>
                <c:pt idx="5">
                  <c:v>566.1</c:v>
                </c:pt>
                <c:pt idx="6">
                  <c:v>730.6</c:v>
                </c:pt>
                <c:pt idx="7">
                  <c:v>741.7</c:v>
                </c:pt>
                <c:pt idx="8">
                  <c:v>799.7</c:v>
                </c:pt>
                <c:pt idx="9">
                  <c:v>822.7</c:v>
                </c:pt>
                <c:pt idx="10">
                  <c:v>865.5</c:v>
                </c:pt>
                <c:pt idx="11">
                  <c:v>896</c:v>
                </c:pt>
                <c:pt idx="12">
                  <c:v>929.9</c:v>
                </c:pt>
                <c:pt idx="13">
                  <c:v>997.3</c:v>
                </c:pt>
                <c:pt idx="14">
                  <c:v>1104.3</c:v>
                </c:pt>
                <c:pt idx="15">
                  <c:v>1152.8</c:v>
                </c:pt>
                <c:pt idx="16">
                  <c:v>1288</c:v>
                </c:pt>
                <c:pt idx="17">
                  <c:v>1457.9</c:v>
                </c:pt>
                <c:pt idx="18">
                  <c:v>1465.8</c:v>
                </c:pt>
                <c:pt idx="19">
                  <c:v>1571.9</c:v>
                </c:pt>
                <c:pt idx="20">
                  <c:v>1937</c:v>
                </c:pt>
                <c:pt idx="21">
                  <c:v>2381.1999999999998</c:v>
                </c:pt>
                <c:pt idx="22">
                  <c:v>2982.2</c:v>
                </c:pt>
                <c:pt idx="23">
                  <c:v>3040</c:v>
                </c:pt>
                <c:pt idx="24">
                  <c:v>4100.1000000000004</c:v>
                </c:pt>
                <c:pt idx="25">
                  <c:v>4346.3</c:v>
                </c:pt>
                <c:pt idx="26">
                  <c:v>10480.1</c:v>
                </c:pt>
              </c:numCache>
            </c:numRef>
          </c:val>
        </c:ser>
        <c:dLbls>
          <c:showLegendKey val="0"/>
          <c:showVal val="1"/>
          <c:showCatName val="0"/>
          <c:showSerName val="0"/>
          <c:showPercent val="0"/>
          <c:showBubbleSize val="0"/>
        </c:dLbls>
        <c:gapWidth val="150"/>
        <c:axId val="283477888"/>
        <c:axId val="283485312"/>
      </c:barChart>
      <c:catAx>
        <c:axId val="283477888"/>
        <c:scaling>
          <c:orientation val="minMax"/>
        </c:scaling>
        <c:delete val="0"/>
        <c:axPos val="l"/>
        <c:numFmt formatCode="General" sourceLinked="1"/>
        <c:majorTickMark val="out"/>
        <c:minorTickMark val="none"/>
        <c:tickLblPos val="nextTo"/>
        <c:txPr>
          <a:bodyPr/>
          <a:lstStyle/>
          <a:p>
            <a:pPr>
              <a:defRPr sz="800">
                <a:solidFill>
                  <a:sysClr val="windowText" lastClr="000000"/>
                </a:solidFill>
              </a:defRPr>
            </a:pPr>
            <a:endParaRPr lang="ru-RU"/>
          </a:p>
        </c:txPr>
        <c:crossAx val="283485312"/>
        <c:crosses val="autoZero"/>
        <c:auto val="1"/>
        <c:lblAlgn val="ctr"/>
        <c:lblOffset val="100"/>
        <c:noMultiLvlLbl val="0"/>
      </c:catAx>
      <c:valAx>
        <c:axId val="283485312"/>
        <c:scaling>
          <c:orientation val="minMax"/>
        </c:scaling>
        <c:delete val="1"/>
        <c:axPos val="b"/>
        <c:numFmt formatCode="General" sourceLinked="1"/>
        <c:majorTickMark val="out"/>
        <c:minorTickMark val="none"/>
        <c:tickLblPos val="none"/>
        <c:crossAx val="283477888"/>
        <c:crosses val="autoZero"/>
        <c:crossBetween val="between"/>
      </c:valAx>
      <c:spPr>
        <a:noFill/>
        <a:ln w="25400">
          <a:noFill/>
        </a:ln>
      </c:spPr>
    </c:plotArea>
    <c:plotVisOnly val="1"/>
    <c:dispBlanksAs val="gap"/>
    <c:showDLblsOverMax val="0"/>
  </c:chart>
  <c:spPr>
    <a:noFill/>
  </c:spPr>
  <c:txPr>
    <a:bodyPr/>
    <a:lstStyle/>
    <a:p>
      <a:pPr>
        <a:defRPr sz="800">
          <a:solidFill>
            <a:schemeClr val="accent1">
              <a:lumMod val="50000"/>
            </a:schemeClr>
          </a:solidFill>
          <a:latin typeface="Times New Roman" pitchFamily="18" charset="0"/>
          <a:cs typeface="Times New Roman" pitchFamily="18" charset="0"/>
        </a:defRPr>
      </a:pPr>
      <a:endParaRPr lang="ru-RU"/>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34955265070131"/>
          <c:y val="1.0982172273675764E-2"/>
          <c:w val="0.86665044734930086"/>
          <c:h val="0.57306099083406559"/>
        </c:manualLayout>
      </c:layout>
      <c:barChart>
        <c:barDir val="col"/>
        <c:grouping val="clustered"/>
        <c:varyColors val="0"/>
        <c:ser>
          <c:idx val="0"/>
          <c:order val="0"/>
          <c:spPr>
            <a:solidFill>
              <a:srgbClr val="4F81BD">
                <a:lumMod val="75000"/>
              </a:srgbClr>
            </a:solidFill>
            <a:ln>
              <a:solidFill>
                <a:schemeClr val="tx2"/>
              </a:solidFill>
            </a:ln>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быт_обслуж!$C$17:$H$17</c:f>
              <c:strCache>
                <c:ptCount val="6"/>
                <c:pt idx="0">
                  <c:v>Ремонт и пошив одежды</c:v>
                </c:pt>
                <c:pt idx="1">
                  <c:v>Техобслуживание транспорта</c:v>
                </c:pt>
                <c:pt idx="2">
                  <c:v>Ремонт и изготовление мебели</c:v>
                </c:pt>
                <c:pt idx="3">
                  <c:v>Парикмахерские </c:v>
                </c:pt>
                <c:pt idx="4">
                  <c:v>Фотоателье</c:v>
                </c:pt>
                <c:pt idx="5">
                  <c:v>Ритуальные услуги</c:v>
                </c:pt>
              </c:strCache>
            </c:strRef>
          </c:cat>
          <c:val>
            <c:numRef>
              <c:f>быт_обслуж!$C$18:$H$18</c:f>
              <c:numCache>
                <c:formatCode>General</c:formatCode>
                <c:ptCount val="6"/>
                <c:pt idx="0">
                  <c:v>2</c:v>
                </c:pt>
                <c:pt idx="1">
                  <c:v>3</c:v>
                </c:pt>
                <c:pt idx="2">
                  <c:v>6</c:v>
                </c:pt>
                <c:pt idx="3">
                  <c:v>6</c:v>
                </c:pt>
                <c:pt idx="4">
                  <c:v>1</c:v>
                </c:pt>
                <c:pt idx="5">
                  <c:v>1</c:v>
                </c:pt>
              </c:numCache>
            </c:numRef>
          </c:val>
        </c:ser>
        <c:dLbls>
          <c:showLegendKey val="0"/>
          <c:showVal val="0"/>
          <c:showCatName val="0"/>
          <c:showSerName val="0"/>
          <c:showPercent val="0"/>
          <c:showBubbleSize val="0"/>
        </c:dLbls>
        <c:gapWidth val="150"/>
        <c:axId val="282563712"/>
        <c:axId val="282565248"/>
      </c:barChart>
      <c:catAx>
        <c:axId val="282563712"/>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82565248"/>
        <c:crosses val="autoZero"/>
        <c:auto val="1"/>
        <c:lblAlgn val="ctr"/>
        <c:lblOffset val="100"/>
        <c:noMultiLvlLbl val="0"/>
      </c:catAx>
      <c:valAx>
        <c:axId val="282565248"/>
        <c:scaling>
          <c:orientation val="minMax"/>
        </c:scaling>
        <c:delete val="1"/>
        <c:axPos val="l"/>
        <c:numFmt formatCode="General" sourceLinked="1"/>
        <c:majorTickMark val="out"/>
        <c:minorTickMark val="none"/>
        <c:tickLblPos val="none"/>
        <c:crossAx val="282563712"/>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83564729242019"/>
          <c:y val="0.18462567793276455"/>
          <c:w val="0.8217216160492119"/>
          <c:h val="0.66468494263770073"/>
        </c:manualLayout>
      </c:layout>
      <c:scatterChart>
        <c:scatterStyle val="lineMarker"/>
        <c:varyColors val="0"/>
        <c:ser>
          <c:idx val="0"/>
          <c:order val="0"/>
          <c:tx>
            <c:strRef>
              <c:f>Смертность!$A$3</c:f>
              <c:strCache>
                <c:ptCount val="1"/>
                <c:pt idx="0">
                  <c:v>Алексеевский</c:v>
                </c:pt>
              </c:strCache>
            </c:strRef>
          </c:tx>
          <c:spPr>
            <a:ln w="47625">
              <a:noFill/>
            </a:ln>
          </c:spPr>
          <c:marker>
            <c:symbol val="circle"/>
            <c:size val="6"/>
            <c:spPr>
              <a:solidFill>
                <a:srgbClr val="4F81BD">
                  <a:lumMod val="50000"/>
                </a:srgbClr>
              </a:solidFill>
              <a:ln>
                <a:noFill/>
              </a:ln>
            </c:spPr>
          </c:marker>
          <c:dLbls>
            <c:dLbl>
              <c:idx val="0"/>
              <c:layout>
                <c:manualLayout>
                  <c:x val="-6.3585326405030354E-2"/>
                  <c:y val="2.243084929260922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Смертность!$C$3</c:f>
              <c:numCache>
                <c:formatCode>0.0</c:formatCode>
                <c:ptCount val="1"/>
                <c:pt idx="0">
                  <c:v>-5.9646376020279606</c:v>
                </c:pt>
              </c:numCache>
            </c:numRef>
          </c:xVal>
          <c:yVal>
            <c:numRef>
              <c:f>Смертность!$B$3</c:f>
              <c:numCache>
                <c:formatCode>General</c:formatCode>
                <c:ptCount val="1"/>
                <c:pt idx="0">
                  <c:v>15.3</c:v>
                </c:pt>
              </c:numCache>
            </c:numRef>
          </c:yVal>
          <c:smooth val="0"/>
        </c:ser>
        <c:ser>
          <c:idx val="1"/>
          <c:order val="1"/>
          <c:tx>
            <c:strRef>
              <c:f>Смертность!$A$4</c:f>
              <c:strCache>
                <c:ptCount val="1"/>
                <c:pt idx="0">
                  <c:v>Безенчукский</c:v>
                </c:pt>
              </c:strCache>
            </c:strRef>
          </c:tx>
          <c:spPr>
            <a:ln w="47625">
              <a:noFill/>
            </a:ln>
          </c:spPr>
          <c:marker>
            <c:symbol val="circle"/>
            <c:size val="6"/>
            <c:spPr>
              <a:solidFill>
                <a:srgbClr val="4F81BD">
                  <a:lumMod val="50000"/>
                </a:srgbClr>
              </a:solidFill>
              <a:ln>
                <a:noFill/>
              </a:ln>
            </c:spPr>
          </c:marker>
          <c:dLbls>
            <c:dLbl>
              <c:idx val="0"/>
              <c:layout>
                <c:manualLayout>
                  <c:x val="-8.8347022208304732E-2"/>
                  <c:y val="1.903448689318195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Смертность!$C$4</c:f>
              <c:numCache>
                <c:formatCode>0.0</c:formatCode>
                <c:ptCount val="1"/>
                <c:pt idx="0">
                  <c:v>-0.88500216547802757</c:v>
                </c:pt>
              </c:numCache>
            </c:numRef>
          </c:xVal>
          <c:yVal>
            <c:numRef>
              <c:f>Смертность!$B$4</c:f>
              <c:numCache>
                <c:formatCode>General</c:formatCode>
                <c:ptCount val="1"/>
                <c:pt idx="0">
                  <c:v>14.8</c:v>
                </c:pt>
              </c:numCache>
            </c:numRef>
          </c:yVal>
          <c:smooth val="0"/>
        </c:ser>
        <c:ser>
          <c:idx val="2"/>
          <c:order val="2"/>
          <c:tx>
            <c:strRef>
              <c:f>Смертность!$A$5</c:f>
              <c:strCache>
                <c:ptCount val="1"/>
                <c:pt idx="0">
                  <c:v>Богатовский </c:v>
                </c:pt>
              </c:strCache>
            </c:strRef>
          </c:tx>
          <c:spPr>
            <a:ln w="47625">
              <a:noFill/>
            </a:ln>
          </c:spPr>
          <c:marker>
            <c:symbol val="circle"/>
            <c:size val="6"/>
            <c:spPr>
              <a:solidFill>
                <a:srgbClr val="4F81BD">
                  <a:lumMod val="50000"/>
                </a:srgbClr>
              </a:solidFill>
              <a:ln>
                <a:noFill/>
              </a:ln>
            </c:spPr>
          </c:marker>
          <c:dLbls>
            <c:dLbl>
              <c:idx val="0"/>
              <c:layout>
                <c:manualLayout>
                  <c:x val="-5.9376182013291895E-2"/>
                  <c:y val="4.449983982059912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Смертность!$C$5</c:f>
              <c:numCache>
                <c:formatCode>0.0</c:formatCode>
                <c:ptCount val="1"/>
                <c:pt idx="0">
                  <c:v>-7.3263697611949974</c:v>
                </c:pt>
              </c:numCache>
            </c:numRef>
          </c:xVal>
          <c:yVal>
            <c:numRef>
              <c:f>Смертность!$B$5</c:f>
              <c:numCache>
                <c:formatCode>General</c:formatCode>
                <c:ptCount val="1"/>
                <c:pt idx="0">
                  <c:v>15.6</c:v>
                </c:pt>
              </c:numCache>
            </c:numRef>
          </c:yVal>
          <c:smooth val="0"/>
        </c:ser>
        <c:ser>
          <c:idx val="3"/>
          <c:order val="3"/>
          <c:tx>
            <c:strRef>
              <c:f>Смертность!$A$6</c:f>
              <c:strCache>
                <c:ptCount val="1"/>
                <c:pt idx="0">
                  <c:v>Большеглушицкий</c:v>
                </c:pt>
              </c:strCache>
            </c:strRef>
          </c:tx>
          <c:spPr>
            <a:ln w="47625">
              <a:noFill/>
            </a:ln>
          </c:spPr>
          <c:marker>
            <c:symbol val="circle"/>
            <c:size val="6"/>
            <c:spPr>
              <a:solidFill>
                <a:srgbClr val="4F81BD">
                  <a:lumMod val="50000"/>
                </a:srgbClr>
              </a:solidFill>
              <a:ln>
                <a:noFill/>
              </a:ln>
            </c:spPr>
          </c:marker>
          <c:dLbls>
            <c:dLbl>
              <c:idx val="0"/>
              <c:layout>
                <c:manualLayout>
                  <c:x val="-8.2553233449117649E-2"/>
                  <c:y val="2.5802428131271649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Смертность!$C$6</c:f>
              <c:numCache>
                <c:formatCode>0.0</c:formatCode>
                <c:ptCount val="1"/>
                <c:pt idx="0">
                  <c:v>-3.1695761610941275</c:v>
                </c:pt>
              </c:numCache>
            </c:numRef>
          </c:xVal>
          <c:yVal>
            <c:numRef>
              <c:f>Смертность!$B$6</c:f>
              <c:numCache>
                <c:formatCode>General</c:formatCode>
                <c:ptCount val="1"/>
                <c:pt idx="0">
                  <c:v>13.8</c:v>
                </c:pt>
              </c:numCache>
            </c:numRef>
          </c:yVal>
          <c:smooth val="0"/>
        </c:ser>
        <c:ser>
          <c:idx val="4"/>
          <c:order val="4"/>
          <c:tx>
            <c:strRef>
              <c:f>Смертность!$A$7</c:f>
              <c:strCache>
                <c:ptCount val="1"/>
                <c:pt idx="0">
                  <c:v>Большечерниговский</c:v>
                </c:pt>
              </c:strCache>
            </c:strRef>
          </c:tx>
          <c:spPr>
            <a:ln w="47625">
              <a:noFill/>
            </a:ln>
          </c:spPr>
          <c:marker>
            <c:symbol val="circle"/>
            <c:size val="6"/>
            <c:spPr>
              <a:solidFill>
                <a:srgbClr val="4F81BD">
                  <a:lumMod val="50000"/>
                </a:srgbClr>
              </a:solidFill>
              <a:ln>
                <a:noFill/>
              </a:ln>
            </c:spPr>
          </c:marker>
          <c:dLbls>
            <c:dLbl>
              <c:idx val="0"/>
              <c:layout>
                <c:manualLayout>
                  <c:x val="-1.2319729954815661E-3"/>
                  <c:y val="-5.793104706620728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Смертность!$C$7</c:f>
              <c:numCache>
                <c:formatCode>0.0</c:formatCode>
                <c:ptCount val="1"/>
                <c:pt idx="0">
                  <c:v>0.66227095601129993</c:v>
                </c:pt>
              </c:numCache>
            </c:numRef>
          </c:xVal>
          <c:yVal>
            <c:numRef>
              <c:f>Смертность!$B$7</c:f>
              <c:numCache>
                <c:formatCode>General</c:formatCode>
                <c:ptCount val="1"/>
                <c:pt idx="0">
                  <c:v>15.3</c:v>
                </c:pt>
              </c:numCache>
            </c:numRef>
          </c:yVal>
          <c:smooth val="0"/>
        </c:ser>
        <c:ser>
          <c:idx val="5"/>
          <c:order val="5"/>
          <c:tx>
            <c:strRef>
              <c:f>Смертность!$A$8</c:f>
              <c:strCache>
                <c:ptCount val="1"/>
                <c:pt idx="0">
                  <c:v>Борский</c:v>
                </c:pt>
              </c:strCache>
            </c:strRef>
          </c:tx>
          <c:spPr>
            <a:ln w="47625">
              <a:noFill/>
            </a:ln>
          </c:spPr>
          <c:marker>
            <c:symbol val="circle"/>
            <c:size val="6"/>
            <c:spPr>
              <a:solidFill>
                <a:srgbClr val="4F81BD">
                  <a:lumMod val="50000"/>
                </a:srgbClr>
              </a:solidFill>
              <a:ln>
                <a:noFill/>
              </a:ln>
            </c:spPr>
          </c:marker>
          <c:dLbls>
            <c:dLbl>
              <c:idx val="0"/>
              <c:layout>
                <c:manualLayout>
                  <c:x val="-5.6774967325075198E-2"/>
                  <c:y val="-4.248906706251802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Смертность!$C$8</c:f>
              <c:numCache>
                <c:formatCode>0.0</c:formatCode>
                <c:ptCount val="1"/>
                <c:pt idx="0">
                  <c:v>-1.3515170267811987</c:v>
                </c:pt>
              </c:numCache>
            </c:numRef>
          </c:xVal>
          <c:yVal>
            <c:numRef>
              <c:f>Смертность!$B$8</c:f>
              <c:numCache>
                <c:formatCode>General</c:formatCode>
                <c:ptCount val="1"/>
                <c:pt idx="0">
                  <c:v>16.8</c:v>
                </c:pt>
              </c:numCache>
            </c:numRef>
          </c:yVal>
          <c:smooth val="0"/>
        </c:ser>
        <c:ser>
          <c:idx val="6"/>
          <c:order val="6"/>
          <c:tx>
            <c:strRef>
              <c:f>Смертность!$A$9</c:f>
              <c:strCache>
                <c:ptCount val="1"/>
                <c:pt idx="0">
                  <c:v>Волжский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Смертность!$C$9</c:f>
              <c:numCache>
                <c:formatCode>0.0</c:formatCode>
                <c:ptCount val="1"/>
                <c:pt idx="0">
                  <c:v>-4.3534408613805455</c:v>
                </c:pt>
              </c:numCache>
            </c:numRef>
          </c:xVal>
          <c:yVal>
            <c:numRef>
              <c:f>Смертность!$B$9</c:f>
              <c:numCache>
                <c:formatCode>General</c:formatCode>
                <c:ptCount val="1"/>
                <c:pt idx="0">
                  <c:v>9.8000000000000007</c:v>
                </c:pt>
              </c:numCache>
            </c:numRef>
          </c:yVal>
          <c:smooth val="0"/>
        </c:ser>
        <c:ser>
          <c:idx val="7"/>
          <c:order val="7"/>
          <c:tx>
            <c:strRef>
              <c:f>Смертность!$A$10</c:f>
              <c:strCache>
                <c:ptCount val="1"/>
                <c:pt idx="0">
                  <c:v>Елховский</c:v>
                </c:pt>
              </c:strCache>
            </c:strRef>
          </c:tx>
          <c:spPr>
            <a:ln w="47625">
              <a:noFill/>
            </a:ln>
          </c:spPr>
          <c:marker>
            <c:symbol val="circle"/>
            <c:size val="6"/>
            <c:spPr>
              <a:noFill/>
              <a:ln>
                <a:noFill/>
              </a:ln>
            </c:spPr>
          </c:marker>
          <c:dLbls>
            <c:dLbl>
              <c:idx val="0"/>
              <c:layout>
                <c:manualLayout>
                  <c:x val="-5.2483662698568634E-2"/>
                  <c:y val="4.263009865166639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Смертность!$C$10</c:f>
              <c:numCache>
                <c:formatCode>0.0</c:formatCode>
                <c:ptCount val="1"/>
                <c:pt idx="0">
                  <c:v>-0.20000053386986849</c:v>
                </c:pt>
              </c:numCache>
            </c:numRef>
          </c:xVal>
          <c:yVal>
            <c:numRef>
              <c:f>Смертность!$B$10</c:f>
              <c:numCache>
                <c:formatCode>General</c:formatCode>
                <c:ptCount val="1"/>
                <c:pt idx="0">
                  <c:v>16.600000000000001</c:v>
                </c:pt>
              </c:numCache>
            </c:numRef>
          </c:yVal>
          <c:smooth val="0"/>
        </c:ser>
        <c:ser>
          <c:idx val="8"/>
          <c:order val="8"/>
          <c:tx>
            <c:strRef>
              <c:f>Смертность!$A$11</c:f>
              <c:strCache>
                <c:ptCount val="1"/>
                <c:pt idx="0">
                  <c:v>Исаклинский </c:v>
                </c:pt>
              </c:strCache>
            </c:strRef>
          </c:tx>
          <c:spPr>
            <a:ln w="47625">
              <a:noFill/>
            </a:ln>
          </c:spPr>
          <c:marker>
            <c:symbol val="circle"/>
            <c:size val="6"/>
          </c:marker>
          <c:dPt>
            <c:idx val="0"/>
            <c:marker>
              <c:spPr>
                <a:solidFill>
                  <a:srgbClr val="4F81BD">
                    <a:lumMod val="50000"/>
                  </a:srgbClr>
                </a:solidFill>
                <a:ln>
                  <a:noFill/>
                </a:ln>
              </c:spPr>
            </c:marker>
            <c:bubble3D val="0"/>
          </c:dPt>
          <c:dLbls>
            <c:dLbl>
              <c:idx val="0"/>
              <c:layout>
                <c:manualLayout>
                  <c:x val="5.1182846870529352E-3"/>
                  <c:y val="2.482759159980268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Смертность!$C$11</c:f>
              <c:numCache>
                <c:formatCode>0.0</c:formatCode>
                <c:ptCount val="1"/>
                <c:pt idx="0">
                  <c:v>0</c:v>
                </c:pt>
              </c:numCache>
            </c:numRef>
          </c:xVal>
          <c:yVal>
            <c:numRef>
              <c:f>Смертность!$B$11</c:f>
              <c:numCache>
                <c:formatCode>General</c:formatCode>
                <c:ptCount val="1"/>
                <c:pt idx="0">
                  <c:v>16</c:v>
                </c:pt>
              </c:numCache>
            </c:numRef>
          </c:yVal>
          <c:smooth val="0"/>
        </c:ser>
        <c:ser>
          <c:idx val="9"/>
          <c:order val="9"/>
          <c:tx>
            <c:strRef>
              <c:f>Смертность!$A$12</c:f>
              <c:strCache>
                <c:ptCount val="1"/>
                <c:pt idx="0">
                  <c:v>Камышлинский</c:v>
                </c:pt>
              </c:strCache>
            </c:strRef>
          </c:tx>
          <c:spPr>
            <a:ln w="47625">
              <a:noFill/>
            </a:ln>
          </c:spPr>
          <c:marker>
            <c:symbol val="circle"/>
            <c:size val="6"/>
            <c:spPr>
              <a:solidFill>
                <a:srgbClr val="FF0000"/>
              </a:solidFill>
              <a:ln>
                <a:noFill/>
              </a:ln>
            </c:spPr>
          </c:marker>
          <c:dLbls>
            <c:dLbl>
              <c:idx val="0"/>
              <c:layout>
                <c:manualLayout>
                  <c:x val="-6.7858603973387777E-2"/>
                  <c:y val="-3.451925810898888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Смертность!$C$12</c:f>
              <c:numCache>
                <c:formatCode>0.0</c:formatCode>
                <c:ptCount val="1"/>
                <c:pt idx="0">
                  <c:v>-2.0497602283710852</c:v>
                </c:pt>
              </c:numCache>
            </c:numRef>
          </c:xVal>
          <c:yVal>
            <c:numRef>
              <c:f>Смертность!$B$12</c:f>
              <c:numCache>
                <c:formatCode>General</c:formatCode>
                <c:ptCount val="1"/>
                <c:pt idx="0">
                  <c:v>15.6</c:v>
                </c:pt>
              </c:numCache>
            </c:numRef>
          </c:yVal>
          <c:smooth val="0"/>
        </c:ser>
        <c:ser>
          <c:idx val="10"/>
          <c:order val="10"/>
          <c:tx>
            <c:strRef>
              <c:f>Смертность!$A$13</c:f>
              <c:strCache>
                <c:ptCount val="1"/>
                <c:pt idx="0">
                  <c:v>Кинельский </c:v>
                </c:pt>
              </c:strCache>
            </c:strRef>
          </c:tx>
          <c:spPr>
            <a:ln w="47625">
              <a:noFill/>
            </a:ln>
          </c:spPr>
          <c:marker>
            <c:symbol val="circle"/>
            <c:size val="6"/>
            <c:spPr>
              <a:solidFill>
                <a:schemeClr val="accent1">
                  <a:lumMod val="50000"/>
                </a:schemeClr>
              </a:solidFill>
              <a:ln>
                <a:noFill/>
              </a:ln>
            </c:spPr>
          </c:marker>
          <c:dLbls>
            <c:dLbl>
              <c:idx val="0"/>
              <c:layout>
                <c:manualLayout>
                  <c:x val="2.8294573643410851E-3"/>
                  <c:y val="-4.1134305716520065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Смертность!$C$13</c:f>
              <c:numCache>
                <c:formatCode>0.0</c:formatCode>
                <c:ptCount val="1"/>
                <c:pt idx="0">
                  <c:v>-2.0413891284438535</c:v>
                </c:pt>
              </c:numCache>
            </c:numRef>
          </c:xVal>
          <c:yVal>
            <c:numRef>
              <c:f>Смертность!$B$13</c:f>
              <c:numCache>
                <c:formatCode>General</c:formatCode>
                <c:ptCount val="1"/>
                <c:pt idx="0">
                  <c:v>14.1</c:v>
                </c:pt>
              </c:numCache>
            </c:numRef>
          </c:yVal>
          <c:smooth val="0"/>
        </c:ser>
        <c:ser>
          <c:idx val="11"/>
          <c:order val="11"/>
          <c:tx>
            <c:strRef>
              <c:f>Смертность!$A$14</c:f>
              <c:strCache>
                <c:ptCount val="1"/>
                <c:pt idx="0">
                  <c:v>Кинель-Черкасский </c:v>
                </c:pt>
              </c:strCache>
            </c:strRef>
          </c:tx>
          <c:spPr>
            <a:ln w="47625">
              <a:noFill/>
            </a:ln>
          </c:spPr>
          <c:marker>
            <c:symbol val="circle"/>
            <c:size val="6"/>
            <c:spPr>
              <a:solidFill>
                <a:srgbClr val="4F81BD">
                  <a:lumMod val="50000"/>
                </a:srgbClr>
              </a:solidFill>
              <a:ln>
                <a:noFill/>
              </a:ln>
            </c:spPr>
          </c:marker>
          <c:dLbls>
            <c:dLbl>
              <c:idx val="0"/>
              <c:layout>
                <c:manualLayout>
                  <c:x val="-8.2342698971966857E-3"/>
                  <c:y val="-2.3969595214682637E-3"/>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Смертность!$C$14</c:f>
              <c:numCache>
                <c:formatCode>0.0</c:formatCode>
                <c:ptCount val="1"/>
                <c:pt idx="0">
                  <c:v>0.60977116624192762</c:v>
                </c:pt>
              </c:numCache>
            </c:numRef>
          </c:xVal>
          <c:yVal>
            <c:numRef>
              <c:f>Смертность!$B$14</c:f>
              <c:numCache>
                <c:formatCode>General</c:formatCode>
                <c:ptCount val="1"/>
                <c:pt idx="0">
                  <c:v>16.600000000000001</c:v>
                </c:pt>
              </c:numCache>
            </c:numRef>
          </c:yVal>
          <c:smooth val="0"/>
        </c:ser>
        <c:ser>
          <c:idx val="12"/>
          <c:order val="12"/>
          <c:tx>
            <c:strRef>
              <c:f>Смертность!$A$15</c:f>
              <c:strCache>
                <c:ptCount val="1"/>
                <c:pt idx="0">
                  <c:v>Клявлинский </c:v>
                </c:pt>
              </c:strCache>
            </c:strRef>
          </c:tx>
          <c:spPr>
            <a:ln w="47625">
              <a:noFill/>
            </a:ln>
          </c:spPr>
          <c:marker>
            <c:symbol val="circle"/>
            <c:size val="6"/>
            <c:spPr>
              <a:solidFill>
                <a:schemeClr val="accent1">
                  <a:lumMod val="50000"/>
                </a:schemeClr>
              </a:solidFill>
              <a:ln>
                <a:noFill/>
              </a:ln>
            </c:spPr>
          </c:marker>
          <c:dLbls>
            <c:dLbl>
              <c:idx val="0"/>
              <c:layout>
                <c:manualLayout>
                  <c:x val="-3.6248436213207956E-3"/>
                  <c:y val="-5.793104706620728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Смертность!$C$15</c:f>
              <c:numCache>
                <c:formatCode>0.0</c:formatCode>
                <c:ptCount val="1"/>
                <c:pt idx="0">
                  <c:v>-5.5888668118973985</c:v>
                </c:pt>
              </c:numCache>
            </c:numRef>
          </c:xVal>
          <c:yVal>
            <c:numRef>
              <c:f>Смертность!$B$15</c:f>
              <c:numCache>
                <c:formatCode>General</c:formatCode>
                <c:ptCount val="1"/>
                <c:pt idx="0">
                  <c:v>15.4</c:v>
                </c:pt>
              </c:numCache>
            </c:numRef>
          </c:yVal>
          <c:smooth val="0"/>
        </c:ser>
        <c:ser>
          <c:idx val="13"/>
          <c:order val="13"/>
          <c:tx>
            <c:strRef>
              <c:f>Смертность!$A$16</c:f>
              <c:strCache>
                <c:ptCount val="1"/>
                <c:pt idx="0">
                  <c:v>Кошкинский</c:v>
                </c:pt>
              </c:strCache>
            </c:strRef>
          </c:tx>
          <c:spPr>
            <a:ln w="47625">
              <a:noFill/>
            </a:ln>
          </c:spPr>
          <c:marker>
            <c:symbol val="circle"/>
            <c:size val="6"/>
            <c:spPr>
              <a:solidFill>
                <a:srgbClr val="4F81BD">
                  <a:lumMod val="50000"/>
                </a:srgbClr>
              </a:solidFill>
              <a:ln>
                <a:noFill/>
              </a:ln>
            </c:spPr>
          </c:marker>
          <c:dLbls>
            <c:dLbl>
              <c:idx val="0"/>
              <c:layout>
                <c:manualLayout>
                  <c:x val="-4.055416123086051E-3"/>
                  <c:y val="1.145740134833594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Смертность!$C$16</c:f>
              <c:numCache>
                <c:formatCode>0.0</c:formatCode>
                <c:ptCount val="1"/>
                <c:pt idx="0">
                  <c:v>-0.21834130604088425</c:v>
                </c:pt>
              </c:numCache>
            </c:numRef>
          </c:xVal>
          <c:yVal>
            <c:numRef>
              <c:f>Смертность!$B$16</c:f>
              <c:numCache>
                <c:formatCode>General</c:formatCode>
                <c:ptCount val="1"/>
                <c:pt idx="0">
                  <c:v>15.2</c:v>
                </c:pt>
              </c:numCache>
            </c:numRef>
          </c:yVal>
          <c:smooth val="0"/>
        </c:ser>
        <c:ser>
          <c:idx val="14"/>
          <c:order val="14"/>
          <c:tx>
            <c:strRef>
              <c:f>Смертность!$A$17</c:f>
              <c:strCache>
                <c:ptCount val="1"/>
                <c:pt idx="0">
                  <c:v>Красноармейский </c:v>
                </c:pt>
              </c:strCache>
            </c:strRef>
          </c:tx>
          <c:spPr>
            <a:ln w="47625">
              <a:noFill/>
            </a:ln>
          </c:spPr>
          <c:marker>
            <c:symbol val="circle"/>
            <c:size val="6"/>
            <c:spPr>
              <a:solidFill>
                <a:srgbClr val="4F81BD">
                  <a:lumMod val="50000"/>
                </a:srgbClr>
              </a:solidFill>
              <a:ln>
                <a:noFill/>
              </a:ln>
            </c:spPr>
          </c:marker>
          <c:dLbls>
            <c:dLbl>
              <c:idx val="0"/>
              <c:layout>
                <c:manualLayout>
                  <c:x val="3.1013924419419064E-3"/>
                  <c:y val="-1.406896857322147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Смертность!$C$17</c:f>
              <c:numCache>
                <c:formatCode>0.0</c:formatCode>
                <c:ptCount val="1"/>
                <c:pt idx="0">
                  <c:v>-0.58824890417834297</c:v>
                </c:pt>
              </c:numCache>
            </c:numRef>
          </c:xVal>
          <c:yVal>
            <c:numRef>
              <c:f>Смертность!$B$17</c:f>
              <c:numCache>
                <c:formatCode>General</c:formatCode>
                <c:ptCount val="1"/>
                <c:pt idx="0">
                  <c:v>16.8</c:v>
                </c:pt>
              </c:numCache>
            </c:numRef>
          </c:yVal>
          <c:smooth val="0"/>
        </c:ser>
        <c:ser>
          <c:idx val="15"/>
          <c:order val="15"/>
          <c:tx>
            <c:strRef>
              <c:f>Смертность!$A$18</c:f>
              <c:strCache>
                <c:ptCount val="1"/>
                <c:pt idx="0">
                  <c:v>Красноярский </c:v>
                </c:pt>
              </c:strCache>
            </c:strRef>
          </c:tx>
          <c:spPr>
            <a:ln w="47625">
              <a:noFill/>
            </a:ln>
          </c:spPr>
          <c:marker>
            <c:symbol val="circle"/>
            <c:size val="6"/>
            <c:spPr>
              <a:solidFill>
                <a:srgbClr val="4F81BD">
                  <a:lumMod val="50000"/>
                </a:srgbClr>
              </a:solidFill>
              <a:ln>
                <a:noFill/>
              </a:ln>
            </c:spPr>
          </c:marker>
          <c:dLbls>
            <c:dLbl>
              <c:idx val="0"/>
              <c:layout>
                <c:manualLayout>
                  <c:x val="-1.5842595878349881E-3"/>
                  <c:y val="8.5191438542805292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Смертность!$C$18</c:f>
              <c:numCache>
                <c:formatCode>0.0</c:formatCode>
                <c:ptCount val="1"/>
                <c:pt idx="0">
                  <c:v>-0.68029316900496706</c:v>
                </c:pt>
              </c:numCache>
            </c:numRef>
          </c:xVal>
          <c:yVal>
            <c:numRef>
              <c:f>Смертность!$B$18</c:f>
              <c:numCache>
                <c:formatCode>General</c:formatCode>
                <c:ptCount val="1"/>
                <c:pt idx="0">
                  <c:v>14.5</c:v>
                </c:pt>
              </c:numCache>
            </c:numRef>
          </c:yVal>
          <c:smooth val="0"/>
        </c:ser>
        <c:ser>
          <c:idx val="16"/>
          <c:order val="16"/>
          <c:tx>
            <c:strRef>
              <c:f>Смертность!$A$19</c:f>
              <c:strCache>
                <c:ptCount val="1"/>
                <c:pt idx="0">
                  <c:v>Нефтегорский </c:v>
                </c:pt>
              </c:strCache>
            </c:strRef>
          </c:tx>
          <c:spPr>
            <a:ln w="47625">
              <a:noFill/>
            </a:ln>
          </c:spPr>
          <c:marker>
            <c:symbol val="circle"/>
            <c:size val="6"/>
            <c:spPr>
              <a:solidFill>
                <a:srgbClr val="4F81BD">
                  <a:lumMod val="50000"/>
                </a:srgbClr>
              </a:solidFill>
              <a:ln>
                <a:noFill/>
              </a:ln>
            </c:spPr>
          </c:marker>
          <c:dLbls>
            <c:dLbl>
              <c:idx val="0"/>
              <c:layout>
                <c:manualLayout>
                  <c:x val="-4.7315248258181522E-2"/>
                  <c:y val="-3.372273336361310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Смертность!$C$19</c:f>
              <c:numCache>
                <c:formatCode>0.0</c:formatCode>
                <c:ptCount val="1"/>
                <c:pt idx="0">
                  <c:v>2.3818422453631727</c:v>
                </c:pt>
              </c:numCache>
            </c:numRef>
          </c:xVal>
          <c:yVal>
            <c:numRef>
              <c:f>Смертность!$B$19</c:f>
              <c:numCache>
                <c:formatCode>General</c:formatCode>
                <c:ptCount val="1"/>
                <c:pt idx="0">
                  <c:v>13.2</c:v>
                </c:pt>
              </c:numCache>
            </c:numRef>
          </c:yVal>
          <c:smooth val="0"/>
        </c:ser>
        <c:ser>
          <c:idx val="17"/>
          <c:order val="17"/>
          <c:tx>
            <c:strRef>
              <c:f>Смертность!$A$20</c:f>
              <c:strCache>
                <c:ptCount val="1"/>
                <c:pt idx="0">
                  <c:v>Пестравский </c:v>
                </c:pt>
              </c:strCache>
            </c:strRef>
          </c:tx>
          <c:spPr>
            <a:ln w="47625">
              <a:noFill/>
            </a:ln>
          </c:spPr>
          <c:marker>
            <c:symbol val="circle"/>
            <c:size val="6"/>
            <c:spPr>
              <a:solidFill>
                <a:srgbClr val="4F81BD">
                  <a:lumMod val="50000"/>
                </a:srgbClr>
              </a:solidFill>
              <a:ln>
                <a:noFill/>
              </a:ln>
            </c:spPr>
          </c:marker>
          <c:dLbls>
            <c:dLbl>
              <c:idx val="0"/>
              <c:layout>
                <c:manualLayout>
                  <c:x val="-7.2318325615475784E-2"/>
                  <c:y val="3.6103184600202562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Смертность!$C$20</c:f>
              <c:numCache>
                <c:formatCode>0.0</c:formatCode>
                <c:ptCount val="1"/>
                <c:pt idx="0">
                  <c:v>2.7518608116575511</c:v>
                </c:pt>
              </c:numCache>
            </c:numRef>
          </c:xVal>
          <c:yVal>
            <c:numRef>
              <c:f>Смертность!$B$20</c:f>
              <c:numCache>
                <c:formatCode>General</c:formatCode>
                <c:ptCount val="1"/>
                <c:pt idx="0">
                  <c:v>17.899999999999999</c:v>
                </c:pt>
              </c:numCache>
            </c:numRef>
          </c:yVal>
          <c:smooth val="0"/>
        </c:ser>
        <c:ser>
          <c:idx val="18"/>
          <c:order val="18"/>
          <c:tx>
            <c:strRef>
              <c:f>Смертность!$A$21</c:f>
              <c:strCache>
                <c:ptCount val="1"/>
                <c:pt idx="0">
                  <c:v>Похвистневский</c:v>
                </c:pt>
              </c:strCache>
            </c:strRef>
          </c:tx>
          <c:spPr>
            <a:ln w="47625">
              <a:noFill/>
            </a:ln>
          </c:spPr>
          <c:marker>
            <c:symbol val="circle"/>
            <c:size val="6"/>
            <c:spPr>
              <a:solidFill>
                <a:srgbClr val="4F81BD">
                  <a:lumMod val="50000"/>
                </a:srgbClr>
              </a:solidFill>
              <a:ln>
                <a:noFill/>
              </a:ln>
            </c:spPr>
          </c:marker>
          <c:dLbls>
            <c:dLbl>
              <c:idx val="0"/>
              <c:layout>
                <c:manualLayout>
                  <c:x val="-8.3668752402441704E-2"/>
                  <c:y val="-3.973044577365101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Смертность!$C$21</c:f>
              <c:numCache>
                <c:formatCode>0.0</c:formatCode>
                <c:ptCount val="1"/>
                <c:pt idx="0">
                  <c:v>-0.86772270246503236</c:v>
                </c:pt>
              </c:numCache>
            </c:numRef>
          </c:xVal>
          <c:yVal>
            <c:numRef>
              <c:f>Смертность!$B$21</c:f>
              <c:numCache>
                <c:formatCode>General</c:formatCode>
                <c:ptCount val="1"/>
                <c:pt idx="0">
                  <c:v>15.1</c:v>
                </c:pt>
              </c:numCache>
            </c:numRef>
          </c:yVal>
          <c:smooth val="0"/>
        </c:ser>
        <c:ser>
          <c:idx val="19"/>
          <c:order val="19"/>
          <c:tx>
            <c:strRef>
              <c:f>Смертность!$A$22</c:f>
              <c:strCache>
                <c:ptCount val="1"/>
                <c:pt idx="0">
                  <c:v>Приволжский</c:v>
                </c:pt>
              </c:strCache>
            </c:strRef>
          </c:tx>
          <c:spPr>
            <a:ln w="47625">
              <a:noFill/>
            </a:ln>
          </c:spPr>
          <c:marker>
            <c:symbol val="circle"/>
            <c:size val="6"/>
            <c:spPr>
              <a:solidFill>
                <a:srgbClr val="4F81BD">
                  <a:lumMod val="50000"/>
                </a:srgbClr>
              </a:solidFill>
              <a:ln>
                <a:noFill/>
              </a:ln>
            </c:spPr>
          </c:marker>
          <c:dLbls>
            <c:dLbl>
              <c:idx val="0"/>
              <c:layout>
                <c:manualLayout>
                  <c:x val="-1.2977262922024943E-3"/>
                  <c:y val="-1.18373091148107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Смертность!$C$22</c:f>
              <c:numCache>
                <c:formatCode>0.0</c:formatCode>
                <c:ptCount val="1"/>
                <c:pt idx="0">
                  <c:v>-0.72995303069919593</c:v>
                </c:pt>
              </c:numCache>
            </c:numRef>
          </c:xVal>
          <c:yVal>
            <c:numRef>
              <c:f>Смертность!$B$22</c:f>
              <c:numCache>
                <c:formatCode>General</c:formatCode>
                <c:ptCount val="1"/>
                <c:pt idx="0">
                  <c:v>13.5</c:v>
                </c:pt>
              </c:numCache>
            </c:numRef>
          </c:yVal>
          <c:smooth val="0"/>
        </c:ser>
        <c:ser>
          <c:idx val="20"/>
          <c:order val="20"/>
          <c:tx>
            <c:strRef>
              <c:f>Смертность!$A$23</c:f>
              <c:strCache>
                <c:ptCount val="1"/>
                <c:pt idx="0">
                  <c:v>Сергиевский</c:v>
                </c:pt>
              </c:strCache>
            </c:strRef>
          </c:tx>
          <c:spPr>
            <a:ln w="47625">
              <a:noFill/>
            </a:ln>
          </c:spPr>
          <c:marker>
            <c:symbol val="circle"/>
            <c:size val="6"/>
            <c:spPr>
              <a:solidFill>
                <a:srgbClr val="4F81BD">
                  <a:lumMod val="50000"/>
                </a:srgbClr>
              </a:solidFill>
              <a:ln>
                <a:noFill/>
              </a:ln>
            </c:spPr>
          </c:marker>
          <c:dLbls>
            <c:dLbl>
              <c:idx val="0"/>
              <c:layout>
                <c:manualLayout>
                  <c:x val="1.3325772562609388E-3"/>
                  <c:y val="-7.6081471861302779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Смертность!$C$23</c:f>
              <c:numCache>
                <c:formatCode>0.0</c:formatCode>
                <c:ptCount val="1"/>
                <c:pt idx="0">
                  <c:v>0</c:v>
                </c:pt>
              </c:numCache>
            </c:numRef>
          </c:xVal>
          <c:yVal>
            <c:numRef>
              <c:f>Смертность!$B$23</c:f>
              <c:numCache>
                <c:formatCode>General</c:formatCode>
                <c:ptCount val="1"/>
                <c:pt idx="0">
                  <c:v>14.8</c:v>
                </c:pt>
              </c:numCache>
            </c:numRef>
          </c:yVal>
          <c:smooth val="0"/>
        </c:ser>
        <c:ser>
          <c:idx val="21"/>
          <c:order val="21"/>
          <c:tx>
            <c:strRef>
              <c:f>Смертность!$A$24</c:f>
              <c:strCache>
                <c:ptCount val="1"/>
                <c:pt idx="0">
                  <c:v>Ставропольский </c:v>
                </c:pt>
              </c:strCache>
            </c:strRef>
          </c:tx>
          <c:spPr>
            <a:ln w="47625">
              <a:noFill/>
            </a:ln>
          </c:spPr>
          <c:marker>
            <c:symbol val="circle"/>
            <c:size val="6"/>
            <c:spPr>
              <a:solidFill>
                <a:srgbClr val="4F81BD">
                  <a:lumMod val="50000"/>
                </a:srgbClr>
              </a:solidFill>
              <a:ln>
                <a:noFill/>
              </a:ln>
            </c:spPr>
          </c:marker>
          <c:dLbls>
            <c:dLbl>
              <c:idx val="0"/>
              <c:layout>
                <c:manualLayout>
                  <c:x val="-5.2768451398987594E-2"/>
                  <c:y val="4.0760357482733746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Смертность!$C$24</c:f>
              <c:numCache>
                <c:formatCode>0.0</c:formatCode>
                <c:ptCount val="1"/>
                <c:pt idx="0">
                  <c:v>-2.9272278063685206</c:v>
                </c:pt>
              </c:numCache>
            </c:numRef>
          </c:xVal>
          <c:yVal>
            <c:numRef>
              <c:f>Смертность!$B$24</c:f>
              <c:numCache>
                <c:formatCode>General</c:formatCode>
                <c:ptCount val="1"/>
                <c:pt idx="0">
                  <c:v>11.8</c:v>
                </c:pt>
              </c:numCache>
            </c:numRef>
          </c:yVal>
          <c:smooth val="0"/>
        </c:ser>
        <c:ser>
          <c:idx val="22"/>
          <c:order val="22"/>
          <c:tx>
            <c:strRef>
              <c:f>Смертность!$A$25</c:f>
              <c:strCache>
                <c:ptCount val="1"/>
                <c:pt idx="0">
                  <c:v>Сызранский </c:v>
                </c:pt>
              </c:strCache>
            </c:strRef>
          </c:tx>
          <c:spPr>
            <a:ln w="47625">
              <a:noFill/>
            </a:ln>
          </c:spPr>
          <c:marker>
            <c:symbol val="circle"/>
            <c:size val="6"/>
            <c:spPr>
              <a:solidFill>
                <a:srgbClr val="4F81BD">
                  <a:lumMod val="50000"/>
                </a:srgbClr>
              </a:solidFill>
              <a:ln>
                <a:noFill/>
              </a:ln>
            </c:spPr>
          </c:marker>
          <c:dLbls>
            <c:dLbl>
              <c:idx val="0"/>
              <c:layout>
                <c:manualLayout>
                  <c:x val="-1.6584200175178703E-3"/>
                  <c:y val="-3.7394823378654788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Смертность!$C$25</c:f>
              <c:numCache>
                <c:formatCode>0.0</c:formatCode>
                <c:ptCount val="1"/>
                <c:pt idx="0">
                  <c:v>-1.6307262030967706</c:v>
                </c:pt>
              </c:numCache>
            </c:numRef>
          </c:xVal>
          <c:yVal>
            <c:numRef>
              <c:f>Смертность!$B$25</c:f>
              <c:numCache>
                <c:formatCode>General</c:formatCode>
                <c:ptCount val="1"/>
                <c:pt idx="0">
                  <c:v>17.8</c:v>
                </c:pt>
              </c:numCache>
            </c:numRef>
          </c:yVal>
          <c:smooth val="0"/>
        </c:ser>
        <c:ser>
          <c:idx val="23"/>
          <c:order val="23"/>
          <c:tx>
            <c:strRef>
              <c:f>Смертность!$A$26</c:f>
              <c:strCache>
                <c:ptCount val="1"/>
                <c:pt idx="0">
                  <c:v>Хворостянский </c:v>
                </c:pt>
              </c:strCache>
            </c:strRef>
          </c:tx>
          <c:spPr>
            <a:ln w="47625">
              <a:noFill/>
            </a:ln>
          </c:spPr>
          <c:marker>
            <c:symbol val="circle"/>
            <c:size val="6"/>
            <c:spPr>
              <a:solidFill>
                <a:srgbClr val="4F81BD">
                  <a:lumMod val="50000"/>
                </a:srgbClr>
              </a:solidFill>
              <a:ln>
                <a:noFill/>
              </a:ln>
            </c:spPr>
          </c:marker>
          <c:dLbls>
            <c:dLbl>
              <c:idx val="0"/>
              <c:layout>
                <c:manualLayout>
                  <c:x val="-8.1205321450356346E-2"/>
                  <c:y val="1.715862441675262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Смертность!$C$26</c:f>
              <c:numCache>
                <c:formatCode>0.0</c:formatCode>
                <c:ptCount val="1"/>
                <c:pt idx="0">
                  <c:v>-1.4600630094815301</c:v>
                </c:pt>
              </c:numCache>
            </c:numRef>
          </c:xVal>
          <c:yVal>
            <c:numRef>
              <c:f>Смертность!$B$26</c:f>
              <c:numCache>
                <c:formatCode>General</c:formatCode>
                <c:ptCount val="1"/>
                <c:pt idx="0">
                  <c:v>13.3</c:v>
                </c:pt>
              </c:numCache>
            </c:numRef>
          </c:yVal>
          <c:smooth val="0"/>
        </c:ser>
        <c:ser>
          <c:idx val="24"/>
          <c:order val="24"/>
          <c:tx>
            <c:strRef>
              <c:f>Смертность!$A$27</c:f>
              <c:strCache>
                <c:ptCount val="1"/>
                <c:pt idx="0">
                  <c:v>Челно-Вершинский </c:v>
                </c:pt>
              </c:strCache>
            </c:strRef>
          </c:tx>
          <c:spPr>
            <a:ln w="47625">
              <a:noFill/>
            </a:ln>
          </c:spPr>
          <c:marker>
            <c:symbol val="circle"/>
            <c:size val="6"/>
            <c:spPr>
              <a:solidFill>
                <a:srgbClr val="4F81BD">
                  <a:lumMod val="50000"/>
                </a:srgbClr>
              </a:solidFill>
              <a:ln>
                <a:noFill/>
              </a:ln>
            </c:spPr>
          </c:marker>
          <c:dLbls>
            <c:dLbl>
              <c:idx val="0"/>
              <c:layout>
                <c:manualLayout>
                  <c:x val="6.0767720384706861E-3"/>
                  <c:y val="-7.3010062016848317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Смертность!$C$27</c:f>
              <c:numCache>
                <c:formatCode>0.0</c:formatCode>
                <c:ptCount val="1"/>
                <c:pt idx="0">
                  <c:v>-5.772331572199036</c:v>
                </c:pt>
              </c:numCache>
            </c:numRef>
          </c:xVal>
          <c:yVal>
            <c:numRef>
              <c:f>Смертность!$B$27</c:f>
              <c:numCache>
                <c:formatCode>General</c:formatCode>
                <c:ptCount val="1"/>
                <c:pt idx="0">
                  <c:v>16.899999999999999</c:v>
                </c:pt>
              </c:numCache>
            </c:numRef>
          </c:yVal>
          <c:smooth val="0"/>
        </c:ser>
        <c:ser>
          <c:idx val="25"/>
          <c:order val="25"/>
          <c:tx>
            <c:strRef>
              <c:f>Смертность!$A$28</c:f>
              <c:strCache>
                <c:ptCount val="1"/>
                <c:pt idx="0">
                  <c:v>Шенталинский</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Смертность!$C$28</c:f>
              <c:numCache>
                <c:formatCode>0.0</c:formatCode>
                <c:ptCount val="1"/>
                <c:pt idx="0">
                  <c:v>2.4866716989808424</c:v>
                </c:pt>
              </c:numCache>
            </c:numRef>
          </c:xVal>
          <c:yVal>
            <c:numRef>
              <c:f>Смертность!$B$28</c:f>
              <c:numCache>
                <c:formatCode>General</c:formatCode>
                <c:ptCount val="1"/>
                <c:pt idx="0">
                  <c:v>18.3</c:v>
                </c:pt>
              </c:numCache>
            </c:numRef>
          </c:yVal>
          <c:smooth val="0"/>
        </c:ser>
        <c:ser>
          <c:idx val="26"/>
          <c:order val="26"/>
          <c:tx>
            <c:strRef>
              <c:f>Смертность!$A$29</c:f>
              <c:strCache>
                <c:ptCount val="1"/>
                <c:pt idx="0">
                  <c:v>Шигонский</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Смертность!$C$29</c:f>
              <c:numCache>
                <c:formatCode>0.0</c:formatCode>
                <c:ptCount val="1"/>
                <c:pt idx="0">
                  <c:v>-2.2616493144028027</c:v>
                </c:pt>
              </c:numCache>
            </c:numRef>
          </c:xVal>
          <c:yVal>
            <c:numRef>
              <c:f>Смертность!$B$29</c:f>
              <c:numCache>
                <c:formatCode>General</c:formatCode>
                <c:ptCount val="1"/>
                <c:pt idx="0">
                  <c:v>18.3</c:v>
                </c:pt>
              </c:numCache>
            </c:numRef>
          </c:yVal>
          <c:smooth val="0"/>
        </c:ser>
        <c:dLbls>
          <c:showLegendKey val="0"/>
          <c:showVal val="1"/>
          <c:showCatName val="0"/>
          <c:showSerName val="0"/>
          <c:showPercent val="0"/>
          <c:showBubbleSize val="0"/>
        </c:dLbls>
        <c:axId val="273521280"/>
        <c:axId val="273535744"/>
      </c:scatterChart>
      <c:valAx>
        <c:axId val="273521280"/>
        <c:scaling>
          <c:orientation val="minMax"/>
          <c:max val="3"/>
          <c:min val="-6.5"/>
        </c:scaling>
        <c:delete val="0"/>
        <c:axPos val="b"/>
        <c:title>
          <c:tx>
            <c:rich>
              <a:bodyPr/>
              <a:lstStyle/>
              <a:p>
                <a:pPr>
                  <a:defRPr/>
                </a:pPr>
                <a:r>
                  <a:rPr lang="ru-RU"/>
                  <a:t>Среднегодовой темп прироста числа умерших на 1000 чел. населения в 2014-2016 гг., %</a:t>
                </a:r>
              </a:p>
            </c:rich>
          </c:tx>
          <c:overlay val="0"/>
        </c:title>
        <c:numFmt formatCode="0.0" sourceLinked="1"/>
        <c:majorTickMark val="out"/>
        <c:minorTickMark val="none"/>
        <c:tickLblPos val="nextTo"/>
        <c:spPr>
          <a:ln>
            <a:noFill/>
          </a:ln>
        </c:spPr>
        <c:crossAx val="273535744"/>
        <c:crosses val="autoZero"/>
        <c:crossBetween val="midCat"/>
      </c:valAx>
      <c:valAx>
        <c:axId val="273535744"/>
        <c:scaling>
          <c:orientation val="minMax"/>
          <c:max val="19"/>
          <c:min val="13"/>
        </c:scaling>
        <c:delete val="0"/>
        <c:axPos val="l"/>
        <c:title>
          <c:tx>
            <c:rich>
              <a:bodyPr rot="-5400000" vert="horz"/>
              <a:lstStyle/>
              <a:p>
                <a:pPr>
                  <a:defRPr/>
                </a:pPr>
                <a:r>
                  <a:rPr lang="ru-RU"/>
                  <a:t>Число умерших (на 1000 чел. населения)</a:t>
                </a:r>
              </a:p>
            </c:rich>
          </c:tx>
          <c:overlay val="0"/>
        </c:title>
        <c:numFmt formatCode="General" sourceLinked="1"/>
        <c:majorTickMark val="out"/>
        <c:minorTickMark val="none"/>
        <c:tickLblPos val="low"/>
        <c:spPr>
          <a:ln>
            <a:noFill/>
          </a:ln>
        </c:spPr>
        <c:crossAx val="273521280"/>
        <c:crosses val="autoZero"/>
        <c:crossBetween val="midCat"/>
      </c:valAx>
      <c:spPr>
        <a:noFill/>
        <a:ln>
          <a:solidFill>
            <a:schemeClr val="tx1"/>
          </a:solidFill>
        </a:ln>
      </c:spPr>
    </c:plotArea>
    <c:plotVisOnly val="1"/>
    <c:dispBlanksAs val="gap"/>
    <c:showDLblsOverMax val="0"/>
  </c:chart>
  <c:spPr>
    <a:noFill/>
  </c:spPr>
  <c:txPr>
    <a:bodyPr/>
    <a:lstStyle/>
    <a:p>
      <a:pPr>
        <a:defRPr sz="700" baseline="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a:pPr>
            <a:r>
              <a:rPr lang="ru-RU"/>
              <a:t>Камышлинский район занимает 20 место среди муниципальных районов Самарской области по </a:t>
            </a:r>
            <a:r>
              <a:rPr lang="ru-RU" sz="960" b="1" i="0" u="none" strike="noStrike" baseline="0"/>
              <a:t>вводу в действие общей площади </a:t>
            </a:r>
            <a:br>
              <a:rPr lang="ru-RU" sz="960" b="1" i="0" u="none" strike="noStrike" baseline="0"/>
            </a:br>
            <a:r>
              <a:rPr lang="ru-RU" sz="960" b="1" i="0" u="none" strike="noStrike" baseline="0"/>
              <a:t>
</a:t>
            </a:r>
            <a:endParaRPr lang="ru-RU"/>
          </a:p>
        </c:rich>
      </c:tx>
      <c:layout>
        <c:manualLayout>
          <c:xMode val="edge"/>
          <c:yMode val="edge"/>
          <c:x val="0.1101857646722071"/>
          <c:y val="2.5345968030387792E-3"/>
        </c:manualLayout>
      </c:layout>
      <c:overlay val="0"/>
    </c:title>
    <c:autoTitleDeleted val="0"/>
    <c:plotArea>
      <c:layout>
        <c:manualLayout>
          <c:layoutTarget val="inner"/>
          <c:xMode val="edge"/>
          <c:yMode val="edge"/>
          <c:x val="0.25169774115211963"/>
          <c:y val="0.12372783503778496"/>
          <c:w val="0.72713762113693159"/>
          <c:h val="0.86308506573359989"/>
        </c:manualLayout>
      </c:layout>
      <c:barChart>
        <c:barDir val="bar"/>
        <c:grouping val="clustered"/>
        <c:varyColors val="0"/>
        <c:ser>
          <c:idx val="0"/>
          <c:order val="0"/>
          <c:invertIfNegative val="0"/>
          <c:dPt>
            <c:idx val="7"/>
            <c:invertIfNegative val="0"/>
            <c:bubble3D val="0"/>
            <c:spPr>
              <a:solidFill>
                <a:schemeClr val="tx2"/>
              </a:solidFill>
              <a:ln>
                <a:solidFill>
                  <a:schemeClr val="tx2"/>
                </a:solidFill>
              </a:ln>
            </c:spPr>
          </c:dPt>
          <c:dPt>
            <c:idx val="10"/>
            <c:invertIfNegative val="0"/>
            <c:bubble3D val="0"/>
            <c:spPr>
              <a:solidFill>
                <a:schemeClr val="accent1"/>
              </a:solidFill>
              <a:ln>
                <a:solidFill>
                  <a:schemeClr val="accent1"/>
                </a:solidFill>
              </a:ln>
            </c:spPr>
          </c:dPt>
          <c:dPt>
            <c:idx val="15"/>
            <c:invertIfNegative val="0"/>
            <c:bubble3D val="0"/>
            <c:spPr>
              <a:solidFill>
                <a:srgbClr val="FF0000"/>
              </a:solidFill>
              <a:ln>
                <a:solidFill>
                  <a:srgbClr val="FF0000"/>
                </a:solidFill>
              </a:ln>
            </c:spPr>
          </c:dPt>
          <c:dPt>
            <c:idx val="16"/>
            <c:invertIfNegative val="0"/>
            <c:bubble3D val="0"/>
            <c:spPr>
              <a:solidFill>
                <a:schemeClr val="accent1"/>
              </a:solidFill>
              <a:ln>
                <a:noFill/>
              </a:ln>
            </c:spPr>
          </c:dPt>
          <c:dPt>
            <c:idx val="17"/>
            <c:invertIfNegative val="0"/>
            <c:bubble3D val="0"/>
            <c:spPr>
              <a:solidFill>
                <a:schemeClr val="accent1"/>
              </a:solidFill>
              <a:ln>
                <a:noFill/>
              </a:ln>
            </c:spPr>
          </c:dPt>
          <c:dLbls>
            <c:txPr>
              <a:bodyPr/>
              <a:lstStyle/>
              <a:p>
                <a:pPr>
                  <a:defRPr b="1">
                    <a:solidFill>
                      <a:sysClr val="windowText" lastClr="000000"/>
                    </a:solidFill>
                  </a:defRPr>
                </a:pPr>
                <a:endParaRPr lang="ru-RU"/>
              </a:p>
            </c:txPr>
            <c:dLblPos val="outEnd"/>
            <c:showLegendKey val="0"/>
            <c:showVal val="1"/>
            <c:showCatName val="0"/>
            <c:showSerName val="0"/>
            <c:showPercent val="0"/>
            <c:showBubbleSize val="0"/>
            <c:showLeaderLines val="0"/>
          </c:dLbls>
          <c:cat>
            <c:strRef>
              <c:f>'Дети 1-7 '!$A$4:$A$30</c:f>
              <c:strCache>
                <c:ptCount val="27"/>
                <c:pt idx="0">
                  <c:v>Шигонский</c:v>
                </c:pt>
                <c:pt idx="1">
                  <c:v>Приволжский</c:v>
                </c:pt>
                <c:pt idx="2">
                  <c:v>Борский</c:v>
                </c:pt>
                <c:pt idx="3">
                  <c:v>Сызранский</c:v>
                </c:pt>
                <c:pt idx="4">
                  <c:v>Шенталинский</c:v>
                </c:pt>
                <c:pt idx="5">
                  <c:v>Богатовский</c:v>
                </c:pt>
                <c:pt idx="6">
                  <c:v>Клявлинский</c:v>
                </c:pt>
                <c:pt idx="7">
                  <c:v>Красноярский</c:v>
                </c:pt>
                <c:pt idx="8">
                  <c:v>Похвистневский</c:v>
                </c:pt>
                <c:pt idx="9">
                  <c:v>Сергиевский</c:v>
                </c:pt>
                <c:pt idx="10">
                  <c:v>Елховский</c:v>
                </c:pt>
                <c:pt idx="11">
                  <c:v>Челно-Вершинский</c:v>
                </c:pt>
                <c:pt idx="12">
                  <c:v>Исаклинский</c:v>
                </c:pt>
                <c:pt idx="13">
                  <c:v>Красноармейский</c:v>
                </c:pt>
                <c:pt idx="14">
                  <c:v>Большечерниговский</c:v>
                </c:pt>
                <c:pt idx="15">
                  <c:v>Камышлинский</c:v>
                </c:pt>
                <c:pt idx="16">
                  <c:v>Ставропольский</c:v>
                </c:pt>
                <c:pt idx="17">
                  <c:v>Безенчукский</c:v>
                </c:pt>
                <c:pt idx="18">
                  <c:v>Большеглушицкий</c:v>
                </c:pt>
                <c:pt idx="19">
                  <c:v>Нефтегорский</c:v>
                </c:pt>
                <c:pt idx="20">
                  <c:v>Кинель-Черкасский</c:v>
                </c:pt>
                <c:pt idx="21">
                  <c:v>Кошкинский</c:v>
                </c:pt>
                <c:pt idx="22">
                  <c:v>Пестравский</c:v>
                </c:pt>
                <c:pt idx="23">
                  <c:v>Кинельский</c:v>
                </c:pt>
                <c:pt idx="24">
                  <c:v>Алексеевский</c:v>
                </c:pt>
                <c:pt idx="25">
                  <c:v>Волжский</c:v>
                </c:pt>
                <c:pt idx="26">
                  <c:v>Хворостянский</c:v>
                </c:pt>
              </c:strCache>
            </c:strRef>
          </c:cat>
          <c:val>
            <c:numRef>
              <c:f>'Дети 1-7 '!$B$4:$B$30</c:f>
              <c:numCache>
                <c:formatCode>0.0</c:formatCode>
                <c:ptCount val="27"/>
                <c:pt idx="0">
                  <c:v>4.3755374576356845</c:v>
                </c:pt>
                <c:pt idx="1">
                  <c:v>19.213248754736259</c:v>
                </c:pt>
                <c:pt idx="2">
                  <c:v>21.740038426196641</c:v>
                </c:pt>
                <c:pt idx="3">
                  <c:v>22.029831647138799</c:v>
                </c:pt>
                <c:pt idx="4">
                  <c:v>25.460024363659681</c:v>
                </c:pt>
                <c:pt idx="5">
                  <c:v>27.204030226700226</c:v>
                </c:pt>
                <c:pt idx="6">
                  <c:v>32.66057548070367</c:v>
                </c:pt>
                <c:pt idx="7">
                  <c:v>33.155137010550163</c:v>
                </c:pt>
                <c:pt idx="8">
                  <c:v>43.21308633950818</c:v>
                </c:pt>
                <c:pt idx="9">
                  <c:v>55.334259688127226</c:v>
                </c:pt>
                <c:pt idx="10">
                  <c:v>55.842105263157912</c:v>
                </c:pt>
                <c:pt idx="11">
                  <c:v>58.488564799469543</c:v>
                </c:pt>
                <c:pt idx="12">
                  <c:v>63.87872035651759</c:v>
                </c:pt>
                <c:pt idx="13">
                  <c:v>67.56788050714988</c:v>
                </c:pt>
                <c:pt idx="14">
                  <c:v>71.141090500281052</c:v>
                </c:pt>
                <c:pt idx="15">
                  <c:v>73.79240412979351</c:v>
                </c:pt>
                <c:pt idx="16">
                  <c:v>74.307741371898928</c:v>
                </c:pt>
                <c:pt idx="17">
                  <c:v>84.140266985455327</c:v>
                </c:pt>
                <c:pt idx="18">
                  <c:v>93.922445935868751</c:v>
                </c:pt>
                <c:pt idx="19">
                  <c:v>96.153154772604267</c:v>
                </c:pt>
                <c:pt idx="20">
                  <c:v>101.35760845133763</c:v>
                </c:pt>
                <c:pt idx="21">
                  <c:v>105.02678571428538</c:v>
                </c:pt>
                <c:pt idx="22">
                  <c:v>120.32617106124636</c:v>
                </c:pt>
                <c:pt idx="23">
                  <c:v>180.44908073052045</c:v>
                </c:pt>
                <c:pt idx="24">
                  <c:v>189.75954979536081</c:v>
                </c:pt>
                <c:pt idx="25">
                  <c:v>198.42592195999552</c:v>
                </c:pt>
                <c:pt idx="26">
                  <c:v>236.89550009335838</c:v>
                </c:pt>
              </c:numCache>
            </c:numRef>
          </c:val>
        </c:ser>
        <c:ser>
          <c:idx val="1"/>
          <c:order val="1"/>
          <c:tx>
            <c:v>1</c:v>
          </c:tx>
          <c:spPr>
            <a:noFill/>
            <a:ln>
              <a:noFill/>
            </a:ln>
          </c:spPr>
          <c:invertIfNegative val="0"/>
          <c:dLbls>
            <c:delete val="1"/>
          </c:dLbls>
          <c:trendline>
            <c:spPr>
              <a:ln>
                <a:prstDash val="sysDash"/>
              </a:ln>
            </c:spPr>
            <c:trendlineType val="linear"/>
            <c:dispRSqr val="0"/>
            <c:dispEq val="0"/>
          </c:trendline>
          <c:val>
            <c:numRef>
              <c:f>'Дети 1-7 '!$C$4:$C$30</c:f>
              <c:numCache>
                <c:formatCode>0.0</c:formatCode>
                <c:ptCount val="27"/>
                <c:pt idx="0">
                  <c:v>79.8</c:v>
                </c:pt>
                <c:pt idx="1">
                  <c:v>79.8</c:v>
                </c:pt>
                <c:pt idx="2">
                  <c:v>79.8</c:v>
                </c:pt>
                <c:pt idx="3">
                  <c:v>79.8</c:v>
                </c:pt>
                <c:pt idx="4">
                  <c:v>79.8</c:v>
                </c:pt>
                <c:pt idx="5">
                  <c:v>79.8</c:v>
                </c:pt>
                <c:pt idx="6">
                  <c:v>79.8</c:v>
                </c:pt>
                <c:pt idx="7">
                  <c:v>79.8</c:v>
                </c:pt>
                <c:pt idx="8">
                  <c:v>79.8</c:v>
                </c:pt>
                <c:pt idx="9">
                  <c:v>79.8</c:v>
                </c:pt>
                <c:pt idx="10">
                  <c:v>79.8</c:v>
                </c:pt>
                <c:pt idx="11">
                  <c:v>79.8</c:v>
                </c:pt>
                <c:pt idx="12">
                  <c:v>79.8</c:v>
                </c:pt>
                <c:pt idx="13">
                  <c:v>79.8</c:v>
                </c:pt>
                <c:pt idx="14">
                  <c:v>79.8</c:v>
                </c:pt>
                <c:pt idx="15">
                  <c:v>79.8</c:v>
                </c:pt>
                <c:pt idx="16">
                  <c:v>79.8</c:v>
                </c:pt>
                <c:pt idx="17">
                  <c:v>79.8</c:v>
                </c:pt>
                <c:pt idx="18">
                  <c:v>79.8</c:v>
                </c:pt>
                <c:pt idx="19">
                  <c:v>79.8</c:v>
                </c:pt>
                <c:pt idx="20">
                  <c:v>79.8</c:v>
                </c:pt>
                <c:pt idx="21">
                  <c:v>79.8</c:v>
                </c:pt>
                <c:pt idx="22">
                  <c:v>79.8</c:v>
                </c:pt>
                <c:pt idx="23">
                  <c:v>79.8</c:v>
                </c:pt>
                <c:pt idx="24">
                  <c:v>79.8</c:v>
                </c:pt>
                <c:pt idx="25">
                  <c:v>79.8</c:v>
                </c:pt>
                <c:pt idx="26">
                  <c:v>79.8</c:v>
                </c:pt>
              </c:numCache>
            </c:numRef>
          </c:val>
        </c:ser>
        <c:dLbls>
          <c:showLegendKey val="0"/>
          <c:showVal val="1"/>
          <c:showCatName val="0"/>
          <c:showSerName val="0"/>
          <c:showPercent val="0"/>
          <c:showBubbleSize val="0"/>
        </c:dLbls>
        <c:gapWidth val="150"/>
        <c:axId val="283523328"/>
        <c:axId val="283537408"/>
      </c:barChart>
      <c:catAx>
        <c:axId val="283523328"/>
        <c:scaling>
          <c:orientation val="minMax"/>
        </c:scaling>
        <c:delete val="0"/>
        <c:axPos val="l"/>
        <c:numFmt formatCode="General" sourceLinked="1"/>
        <c:majorTickMark val="out"/>
        <c:minorTickMark val="none"/>
        <c:tickLblPos val="nextTo"/>
        <c:txPr>
          <a:bodyPr/>
          <a:lstStyle/>
          <a:p>
            <a:pPr>
              <a:defRPr>
                <a:solidFill>
                  <a:sysClr val="windowText" lastClr="000000"/>
                </a:solidFill>
              </a:defRPr>
            </a:pPr>
            <a:endParaRPr lang="ru-RU"/>
          </a:p>
        </c:txPr>
        <c:crossAx val="283537408"/>
        <c:crosses val="autoZero"/>
        <c:auto val="1"/>
        <c:lblAlgn val="ctr"/>
        <c:lblOffset val="100"/>
        <c:noMultiLvlLbl val="0"/>
      </c:catAx>
      <c:valAx>
        <c:axId val="283537408"/>
        <c:scaling>
          <c:orientation val="minMax"/>
        </c:scaling>
        <c:delete val="1"/>
        <c:axPos val="b"/>
        <c:numFmt formatCode="0.0" sourceLinked="1"/>
        <c:majorTickMark val="out"/>
        <c:minorTickMark val="none"/>
        <c:tickLblPos val="none"/>
        <c:crossAx val="283523328"/>
        <c:crosses val="autoZero"/>
        <c:crossBetween val="between"/>
      </c:valAx>
      <c:spPr>
        <a:noFill/>
        <a:ln w="25400">
          <a:noFill/>
        </a:ln>
      </c:spPr>
    </c:plotArea>
    <c:plotVisOnly val="1"/>
    <c:dispBlanksAs val="gap"/>
    <c:showDLblsOverMax val="0"/>
  </c:chart>
  <c:spPr>
    <a:noFill/>
    <a:ln>
      <a:solidFill>
        <a:sysClr val="window" lastClr="FFFFFF">
          <a:lumMod val="50000"/>
        </a:sysClr>
      </a:solidFill>
    </a:ln>
  </c:spPr>
  <c:txPr>
    <a:bodyPr/>
    <a:lstStyle/>
    <a:p>
      <a:pPr>
        <a:defRPr sz="800">
          <a:solidFill>
            <a:schemeClr val="accent1">
              <a:lumMod val="50000"/>
            </a:schemeClr>
          </a:solidFill>
          <a:latin typeface="Times New Roman" pitchFamily="18" charset="0"/>
          <a:cs typeface="Times New Roman" pitchFamily="18" charset="0"/>
        </a:defRPr>
      </a:pPr>
      <a:endParaRPr lang="ru-RU"/>
    </a:p>
  </c:tx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lgn="ctr">
              <a:defRPr sz="1000">
                <a:latin typeface="Times New Roman" pitchFamily="18" charset="0"/>
                <a:cs typeface="Times New Roman" pitchFamily="18" charset="0"/>
              </a:defRPr>
            </a:pPr>
            <a:r>
              <a:rPr lang="ru-RU" sz="1000">
                <a:latin typeface="Times New Roman" pitchFamily="18" charset="0"/>
                <a:cs typeface="Times New Roman" pitchFamily="18" charset="0"/>
              </a:rPr>
              <a:t>Камышлинский район характеризуется</a:t>
            </a:r>
            <a:r>
              <a:rPr lang="ru-RU" sz="1000" baseline="0">
                <a:latin typeface="Times New Roman" pitchFamily="18" charset="0"/>
                <a:cs typeface="Times New Roman" pitchFamily="18" charset="0"/>
              </a:rPr>
              <a:t> устойчивыми темпами роста инвестиционных вложений в экономику (кроме 2016 г.)</a:t>
            </a:r>
            <a:endParaRPr lang="ru-RU" sz="1000">
              <a:latin typeface="Times New Roman" pitchFamily="18" charset="0"/>
              <a:cs typeface="Times New Roman" pitchFamily="18" charset="0"/>
            </a:endParaRPr>
          </a:p>
        </c:rich>
      </c:tx>
      <c:overlay val="0"/>
    </c:title>
    <c:autoTitleDeleted val="0"/>
    <c:plotArea>
      <c:layout>
        <c:manualLayout>
          <c:layoutTarget val="inner"/>
          <c:xMode val="edge"/>
          <c:yMode val="edge"/>
          <c:x val="7.8845676385046484E-2"/>
          <c:y val="0.15343301772085671"/>
          <c:w val="0.84230864722990761"/>
          <c:h val="0.61475086083752362"/>
        </c:manualLayout>
      </c:layout>
      <c:barChart>
        <c:barDir val="col"/>
        <c:grouping val="clustered"/>
        <c:varyColors val="0"/>
        <c:ser>
          <c:idx val="0"/>
          <c:order val="0"/>
          <c:tx>
            <c:strRef>
              <c:f>инвест1!$B$35</c:f>
              <c:strCache>
                <c:ptCount val="1"/>
                <c:pt idx="0">
                  <c:v>Объем инвестиций в основной капитал в расчете на душу населения (за исключением бюджетных средств), руб/чел</c:v>
                </c:pt>
              </c:strCache>
            </c:strRef>
          </c:tx>
          <c:spPr>
            <a:solidFill>
              <a:schemeClr val="bg1">
                <a:lumMod val="75000"/>
              </a:schemeClr>
            </a:solidFill>
            <a:ln>
              <a:solidFill>
                <a:schemeClr val="bg1">
                  <a:lumMod val="75000"/>
                </a:schemeClr>
              </a:solidFill>
            </a:ln>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инвест1!$C$34:$G$34</c:f>
              <c:numCache>
                <c:formatCode>General</c:formatCode>
                <c:ptCount val="5"/>
                <c:pt idx="0">
                  <c:v>2012</c:v>
                </c:pt>
                <c:pt idx="1">
                  <c:v>2013</c:v>
                </c:pt>
                <c:pt idx="2">
                  <c:v>2014</c:v>
                </c:pt>
                <c:pt idx="3">
                  <c:v>2015</c:v>
                </c:pt>
                <c:pt idx="4">
                  <c:v>2016</c:v>
                </c:pt>
              </c:numCache>
            </c:numRef>
          </c:cat>
          <c:val>
            <c:numRef>
              <c:f>инвест1!$C$35:$G$35</c:f>
              <c:numCache>
                <c:formatCode>General</c:formatCode>
                <c:ptCount val="5"/>
                <c:pt idx="0">
                  <c:v>12</c:v>
                </c:pt>
                <c:pt idx="1">
                  <c:v>793</c:v>
                </c:pt>
                <c:pt idx="2">
                  <c:v>1007</c:v>
                </c:pt>
                <c:pt idx="3">
                  <c:v>1537</c:v>
                </c:pt>
                <c:pt idx="4">
                  <c:v>4110</c:v>
                </c:pt>
              </c:numCache>
            </c:numRef>
          </c:val>
        </c:ser>
        <c:dLbls>
          <c:showLegendKey val="0"/>
          <c:showVal val="0"/>
          <c:showCatName val="0"/>
          <c:showSerName val="0"/>
          <c:showPercent val="0"/>
          <c:showBubbleSize val="0"/>
        </c:dLbls>
        <c:gapWidth val="75"/>
        <c:overlap val="40"/>
        <c:axId val="283590016"/>
        <c:axId val="283591808"/>
      </c:barChart>
      <c:lineChart>
        <c:grouping val="standard"/>
        <c:varyColors val="0"/>
        <c:ser>
          <c:idx val="1"/>
          <c:order val="1"/>
          <c:tx>
            <c:strRef>
              <c:f>инвест1!$B$36</c:f>
              <c:strCache>
                <c:ptCount val="1"/>
                <c:pt idx="0">
                  <c:v>Инвестиции в основной капитал, млн. руб.</c:v>
                </c:pt>
              </c:strCache>
            </c:strRef>
          </c:tx>
          <c:spPr>
            <a:ln>
              <a:solidFill>
                <a:srgbClr val="FF0000"/>
              </a:solidFill>
            </a:ln>
          </c:spPr>
          <c:marker>
            <c:spPr>
              <a:solidFill>
                <a:srgbClr val="FF0000"/>
              </a:solidFill>
              <a:ln>
                <a:solidFill>
                  <a:srgbClr val="FF0000"/>
                </a:solidFill>
              </a:ln>
            </c:spPr>
          </c:marker>
          <c:dLbls>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инвест1!$C$34:$G$34</c:f>
              <c:numCache>
                <c:formatCode>General</c:formatCode>
                <c:ptCount val="5"/>
                <c:pt idx="0">
                  <c:v>2012</c:v>
                </c:pt>
                <c:pt idx="1">
                  <c:v>2013</c:v>
                </c:pt>
                <c:pt idx="2">
                  <c:v>2014</c:v>
                </c:pt>
                <c:pt idx="3">
                  <c:v>2015</c:v>
                </c:pt>
                <c:pt idx="4">
                  <c:v>2016</c:v>
                </c:pt>
              </c:numCache>
            </c:numRef>
          </c:cat>
          <c:val>
            <c:numRef>
              <c:f>инвест1!$C$36:$G$36</c:f>
              <c:numCache>
                <c:formatCode>General</c:formatCode>
                <c:ptCount val="5"/>
                <c:pt idx="0">
                  <c:v>205.6</c:v>
                </c:pt>
                <c:pt idx="1">
                  <c:v>605.70000000000005</c:v>
                </c:pt>
                <c:pt idx="2">
                  <c:v>756.3</c:v>
                </c:pt>
                <c:pt idx="3">
                  <c:v>919.5</c:v>
                </c:pt>
                <c:pt idx="4">
                  <c:v>800.5</c:v>
                </c:pt>
              </c:numCache>
            </c:numRef>
          </c:val>
          <c:smooth val="0"/>
        </c:ser>
        <c:dLbls>
          <c:showLegendKey val="0"/>
          <c:showVal val="0"/>
          <c:showCatName val="0"/>
          <c:showSerName val="0"/>
          <c:showPercent val="0"/>
          <c:showBubbleSize val="0"/>
        </c:dLbls>
        <c:marker val="1"/>
        <c:smooth val="0"/>
        <c:axId val="283593344"/>
        <c:axId val="283603328"/>
      </c:lineChart>
      <c:catAx>
        <c:axId val="283590016"/>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283591808"/>
        <c:crosses val="autoZero"/>
        <c:auto val="1"/>
        <c:lblAlgn val="ctr"/>
        <c:lblOffset val="100"/>
        <c:noMultiLvlLbl val="0"/>
      </c:catAx>
      <c:valAx>
        <c:axId val="283591808"/>
        <c:scaling>
          <c:orientation val="minMax"/>
        </c:scaling>
        <c:delete val="0"/>
        <c:axPos val="l"/>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83590016"/>
        <c:crosses val="autoZero"/>
        <c:crossBetween val="between"/>
      </c:valAx>
      <c:catAx>
        <c:axId val="283593344"/>
        <c:scaling>
          <c:orientation val="minMax"/>
        </c:scaling>
        <c:delete val="1"/>
        <c:axPos val="b"/>
        <c:numFmt formatCode="General" sourceLinked="1"/>
        <c:majorTickMark val="out"/>
        <c:minorTickMark val="none"/>
        <c:tickLblPos val="none"/>
        <c:crossAx val="283603328"/>
        <c:crosses val="autoZero"/>
        <c:auto val="1"/>
        <c:lblAlgn val="ctr"/>
        <c:lblOffset val="100"/>
        <c:noMultiLvlLbl val="0"/>
      </c:catAx>
      <c:valAx>
        <c:axId val="283603328"/>
        <c:scaling>
          <c:orientation val="minMax"/>
        </c:scaling>
        <c:delete val="0"/>
        <c:axPos val="r"/>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83593344"/>
        <c:crosses val="max"/>
        <c:crossBetween val="between"/>
      </c:valAx>
    </c:plotArea>
    <c:legend>
      <c:legendPos val="b"/>
      <c:layout>
        <c:manualLayout>
          <c:xMode val="edge"/>
          <c:yMode val="edge"/>
          <c:x val="8.1275461679070227E-3"/>
          <c:y val="0.84472160255221396"/>
          <c:w val="0.97928512498048925"/>
          <c:h val="0.1552783974477884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доходы!$B$10</c:f>
              <c:strCache>
                <c:ptCount val="1"/>
                <c:pt idx="0">
                  <c:v>Доходы бюджета - всего</c:v>
                </c:pt>
              </c:strCache>
            </c:strRef>
          </c:tx>
          <c:spPr>
            <a:solidFill>
              <a:schemeClr val="bg1">
                <a:lumMod val="65000"/>
              </a:schemeClr>
            </a:solidFill>
            <a:ln>
              <a:solidFill>
                <a:schemeClr val="bg1">
                  <a:lumMod val="65000"/>
                </a:schemeClr>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доходы!$C$9:$G$9</c:f>
              <c:numCache>
                <c:formatCode>General</c:formatCode>
                <c:ptCount val="5"/>
                <c:pt idx="0">
                  <c:v>2012</c:v>
                </c:pt>
                <c:pt idx="1">
                  <c:v>2013</c:v>
                </c:pt>
                <c:pt idx="2">
                  <c:v>2014</c:v>
                </c:pt>
                <c:pt idx="3">
                  <c:v>2015</c:v>
                </c:pt>
                <c:pt idx="4">
                  <c:v>2016</c:v>
                </c:pt>
              </c:numCache>
            </c:numRef>
          </c:cat>
          <c:val>
            <c:numRef>
              <c:f>доходы!$C$10:$G$10</c:f>
              <c:numCache>
                <c:formatCode>General</c:formatCode>
                <c:ptCount val="5"/>
                <c:pt idx="0">
                  <c:v>262177</c:v>
                </c:pt>
                <c:pt idx="1">
                  <c:v>266710</c:v>
                </c:pt>
                <c:pt idx="2">
                  <c:v>336549</c:v>
                </c:pt>
                <c:pt idx="3">
                  <c:v>203862</c:v>
                </c:pt>
                <c:pt idx="4">
                  <c:v>204397</c:v>
                </c:pt>
              </c:numCache>
            </c:numRef>
          </c:val>
        </c:ser>
        <c:ser>
          <c:idx val="1"/>
          <c:order val="1"/>
          <c:tx>
            <c:strRef>
              <c:f>доходы!$B$11</c:f>
              <c:strCache>
                <c:ptCount val="1"/>
                <c:pt idx="0">
                  <c:v>Налоговые доходы</c:v>
                </c:pt>
              </c:strCache>
            </c:strRef>
          </c:tx>
          <c:spPr>
            <a:solidFill>
              <a:schemeClr val="tx2">
                <a:lumMod val="40000"/>
                <a:lumOff val="60000"/>
              </a:schemeClr>
            </a:solidFill>
            <a:ln>
              <a:solidFill>
                <a:schemeClr val="tx2">
                  <a:lumMod val="40000"/>
                  <a:lumOff val="60000"/>
                </a:schemeClr>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доходы!$C$9:$G$9</c:f>
              <c:numCache>
                <c:formatCode>General</c:formatCode>
                <c:ptCount val="5"/>
                <c:pt idx="0">
                  <c:v>2012</c:v>
                </c:pt>
                <c:pt idx="1">
                  <c:v>2013</c:v>
                </c:pt>
                <c:pt idx="2">
                  <c:v>2014</c:v>
                </c:pt>
                <c:pt idx="3">
                  <c:v>2015</c:v>
                </c:pt>
                <c:pt idx="4">
                  <c:v>2016</c:v>
                </c:pt>
              </c:numCache>
            </c:numRef>
          </c:cat>
          <c:val>
            <c:numRef>
              <c:f>доходы!$C$11:$G$11</c:f>
              <c:numCache>
                <c:formatCode>General</c:formatCode>
                <c:ptCount val="5"/>
                <c:pt idx="0">
                  <c:v>23434</c:v>
                </c:pt>
                <c:pt idx="1">
                  <c:v>26252</c:v>
                </c:pt>
                <c:pt idx="2">
                  <c:v>35115</c:v>
                </c:pt>
                <c:pt idx="3">
                  <c:v>48599</c:v>
                </c:pt>
                <c:pt idx="4">
                  <c:v>45979</c:v>
                </c:pt>
              </c:numCache>
            </c:numRef>
          </c:val>
        </c:ser>
        <c:ser>
          <c:idx val="2"/>
          <c:order val="2"/>
          <c:tx>
            <c:strRef>
              <c:f>доходы!$B$12</c:f>
              <c:strCache>
                <c:ptCount val="1"/>
                <c:pt idx="0">
                  <c:v>Неналоговые доходы</c:v>
                </c:pt>
              </c:strCache>
            </c:strRef>
          </c:tx>
          <c:spPr>
            <a:solidFill>
              <a:schemeClr val="tx2"/>
            </a:solidFill>
            <a:ln>
              <a:solidFill>
                <a:schemeClr val="tx2"/>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доходы!$C$9:$G$9</c:f>
              <c:numCache>
                <c:formatCode>General</c:formatCode>
                <c:ptCount val="5"/>
                <c:pt idx="0">
                  <c:v>2012</c:v>
                </c:pt>
                <c:pt idx="1">
                  <c:v>2013</c:v>
                </c:pt>
                <c:pt idx="2">
                  <c:v>2014</c:v>
                </c:pt>
                <c:pt idx="3">
                  <c:v>2015</c:v>
                </c:pt>
                <c:pt idx="4">
                  <c:v>2016</c:v>
                </c:pt>
              </c:numCache>
            </c:numRef>
          </c:cat>
          <c:val>
            <c:numRef>
              <c:f>доходы!$C$12:$G$12</c:f>
              <c:numCache>
                <c:formatCode>General</c:formatCode>
                <c:ptCount val="5"/>
                <c:pt idx="0">
                  <c:v>53337</c:v>
                </c:pt>
                <c:pt idx="1">
                  <c:v>14859</c:v>
                </c:pt>
                <c:pt idx="2">
                  <c:v>20534</c:v>
                </c:pt>
                <c:pt idx="3">
                  <c:v>7531</c:v>
                </c:pt>
                <c:pt idx="4">
                  <c:v>14923</c:v>
                </c:pt>
              </c:numCache>
            </c:numRef>
          </c:val>
        </c:ser>
        <c:ser>
          <c:idx val="3"/>
          <c:order val="3"/>
          <c:tx>
            <c:strRef>
              <c:f>доходы!$B$13</c:f>
              <c:strCache>
                <c:ptCount val="1"/>
                <c:pt idx="0">
                  <c:v>Безвозмездные перечисления от бюджетов других уровней</c:v>
                </c:pt>
              </c:strCache>
            </c:strRef>
          </c:tx>
          <c:spPr>
            <a:solidFill>
              <a:srgbClr val="C00000"/>
            </a:solidFill>
            <a:ln>
              <a:solidFill>
                <a:srgbClr val="FF0000"/>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доходы!$C$9:$G$9</c:f>
              <c:numCache>
                <c:formatCode>General</c:formatCode>
                <c:ptCount val="5"/>
                <c:pt idx="0">
                  <c:v>2012</c:v>
                </c:pt>
                <c:pt idx="1">
                  <c:v>2013</c:v>
                </c:pt>
                <c:pt idx="2">
                  <c:v>2014</c:v>
                </c:pt>
                <c:pt idx="3">
                  <c:v>2015</c:v>
                </c:pt>
                <c:pt idx="4">
                  <c:v>2016</c:v>
                </c:pt>
              </c:numCache>
            </c:numRef>
          </c:cat>
          <c:val>
            <c:numRef>
              <c:f>доходы!$C$13:$G$13</c:f>
              <c:numCache>
                <c:formatCode>General</c:formatCode>
                <c:ptCount val="5"/>
                <c:pt idx="0">
                  <c:v>185406</c:v>
                </c:pt>
                <c:pt idx="1">
                  <c:v>226964</c:v>
                </c:pt>
                <c:pt idx="2">
                  <c:v>279129</c:v>
                </c:pt>
                <c:pt idx="3">
                  <c:v>144031</c:v>
                </c:pt>
                <c:pt idx="4">
                  <c:v>135083</c:v>
                </c:pt>
              </c:numCache>
            </c:numRef>
          </c:val>
        </c:ser>
        <c:dLbls>
          <c:showLegendKey val="0"/>
          <c:showVal val="1"/>
          <c:showCatName val="0"/>
          <c:showSerName val="0"/>
          <c:showPercent val="0"/>
          <c:showBubbleSize val="0"/>
        </c:dLbls>
        <c:gapWidth val="150"/>
        <c:overlap val="-25"/>
        <c:axId val="283726592"/>
        <c:axId val="283728128"/>
      </c:barChart>
      <c:catAx>
        <c:axId val="283726592"/>
        <c:scaling>
          <c:orientation val="minMax"/>
        </c:scaling>
        <c:delete val="0"/>
        <c:axPos val="l"/>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83728128"/>
        <c:crosses val="autoZero"/>
        <c:auto val="1"/>
        <c:lblAlgn val="ctr"/>
        <c:lblOffset val="100"/>
        <c:noMultiLvlLbl val="0"/>
      </c:catAx>
      <c:valAx>
        <c:axId val="283728128"/>
        <c:scaling>
          <c:orientation val="minMax"/>
        </c:scaling>
        <c:delete val="1"/>
        <c:axPos val="b"/>
        <c:numFmt formatCode="General" sourceLinked="1"/>
        <c:majorTickMark val="out"/>
        <c:minorTickMark val="none"/>
        <c:tickLblPos val="none"/>
        <c:crossAx val="283726592"/>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517448409298013"/>
          <c:y val="2.8057012446165718E-2"/>
          <c:w val="0.51181589384112669"/>
          <c:h val="0.90004713602960762"/>
        </c:manualLayout>
      </c:layout>
      <c:barChart>
        <c:barDir val="bar"/>
        <c:grouping val="clustered"/>
        <c:varyColors val="0"/>
        <c:ser>
          <c:idx val="0"/>
          <c:order val="0"/>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доходы!$B$52:$B$57</c:f>
              <c:strCache>
                <c:ptCount val="6"/>
                <c:pt idx="0">
                  <c:v>налог на доходы физических лиц</c:v>
                </c:pt>
                <c:pt idx="1">
                  <c:v>налог на имущество физических лиц</c:v>
                </c:pt>
                <c:pt idx="2">
                  <c:v> земельный налог</c:v>
                </c:pt>
                <c:pt idx="3">
                  <c:v>единый налог на вмененный доход</c:v>
                </c:pt>
                <c:pt idx="4">
                  <c:v>единый сельскохозяйственный налог</c:v>
                </c:pt>
                <c:pt idx="5">
                  <c:v>прочие налоговые доходы</c:v>
                </c:pt>
              </c:strCache>
            </c:strRef>
          </c:cat>
          <c:val>
            <c:numRef>
              <c:f>доходы!$C$52:$C$57</c:f>
              <c:numCache>
                <c:formatCode>General</c:formatCode>
                <c:ptCount val="6"/>
                <c:pt idx="0">
                  <c:v>21404</c:v>
                </c:pt>
                <c:pt idx="1">
                  <c:v>625</c:v>
                </c:pt>
                <c:pt idx="2">
                  <c:v>6343</c:v>
                </c:pt>
                <c:pt idx="3">
                  <c:v>20168</c:v>
                </c:pt>
                <c:pt idx="4">
                  <c:v>188</c:v>
                </c:pt>
                <c:pt idx="5">
                  <c:v>15244</c:v>
                </c:pt>
              </c:numCache>
            </c:numRef>
          </c:val>
        </c:ser>
        <c:dLbls>
          <c:showLegendKey val="0"/>
          <c:showVal val="0"/>
          <c:showCatName val="0"/>
          <c:showSerName val="0"/>
          <c:showPercent val="0"/>
          <c:showBubbleSize val="0"/>
        </c:dLbls>
        <c:gapWidth val="75"/>
        <c:overlap val="-25"/>
        <c:axId val="283769088"/>
        <c:axId val="283770880"/>
      </c:barChart>
      <c:catAx>
        <c:axId val="283769088"/>
        <c:scaling>
          <c:orientation val="minMax"/>
        </c:scaling>
        <c:delete val="0"/>
        <c:axPos val="l"/>
        <c:numFmt formatCode="General" sourceLinked="1"/>
        <c:majorTickMark val="none"/>
        <c:minorTickMark val="none"/>
        <c:tickLblPos val="nextTo"/>
        <c:txPr>
          <a:bodyPr/>
          <a:lstStyle/>
          <a:p>
            <a:pPr>
              <a:defRPr sz="1000">
                <a:latin typeface="Times New Roman" pitchFamily="18" charset="0"/>
                <a:cs typeface="Times New Roman" pitchFamily="18" charset="0"/>
              </a:defRPr>
            </a:pPr>
            <a:endParaRPr lang="ru-RU"/>
          </a:p>
        </c:txPr>
        <c:crossAx val="283770880"/>
        <c:crosses val="autoZero"/>
        <c:auto val="1"/>
        <c:lblAlgn val="ctr"/>
        <c:lblOffset val="100"/>
        <c:noMultiLvlLbl val="0"/>
      </c:catAx>
      <c:valAx>
        <c:axId val="283770880"/>
        <c:scaling>
          <c:orientation val="minMax"/>
        </c:scaling>
        <c:delete val="1"/>
        <c:axPos val="b"/>
        <c:numFmt formatCode="General" sourceLinked="1"/>
        <c:majorTickMark val="out"/>
        <c:minorTickMark val="none"/>
        <c:tickLblPos val="none"/>
        <c:crossAx val="283769088"/>
        <c:crosses val="autoZero"/>
        <c:crossBetween val="between"/>
      </c:valAx>
    </c:plotArea>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60890295411638"/>
          <c:y val="2.1716618243140293E-2"/>
          <c:w val="0.53626610070870129"/>
          <c:h val="0.94074223869073792"/>
        </c:manualLayout>
      </c:layout>
      <c:barChart>
        <c:barDir val="bar"/>
        <c:grouping val="clustered"/>
        <c:varyColors val="0"/>
        <c:ser>
          <c:idx val="0"/>
          <c:order val="0"/>
          <c:tx>
            <c:strRef>
              <c:f>расходы!$C$19</c:f>
              <c:strCache>
                <c:ptCount val="1"/>
                <c:pt idx="0">
                  <c:v>2012</c:v>
                </c:pt>
              </c:strCache>
            </c:strRef>
          </c:tx>
          <c:invertIfNegative val="0"/>
          <c:dLbls>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расходы!$B$20:$B$29</c:f>
              <c:strCache>
                <c:ptCount val="10"/>
                <c:pt idx="0">
                  <c:v>     функционирование представительных органов муниципальных образований</c:v>
                </c:pt>
                <c:pt idx="1">
                  <c:v>     функционирование местных администраций</c:v>
                </c:pt>
                <c:pt idx="2">
                  <c:v>     национальная экономика</c:v>
                </c:pt>
                <c:pt idx="3">
                  <c:v>     жилищно-коммунальное хозяйство</c:v>
                </c:pt>
                <c:pt idx="4">
                  <c:v>     образование</c:v>
                </c:pt>
                <c:pt idx="5">
                  <c:v>     культура</c:v>
                </c:pt>
                <c:pt idx="6">
                  <c:v>     здравоохранение</c:v>
                </c:pt>
                <c:pt idx="7">
                  <c:v>     социальная политика</c:v>
                </c:pt>
                <c:pt idx="8">
                  <c:v>     физическая культура и спорт</c:v>
                </c:pt>
                <c:pt idx="9">
                  <c:v>     прочие расходы</c:v>
                </c:pt>
              </c:strCache>
            </c:strRef>
          </c:cat>
          <c:val>
            <c:numRef>
              <c:f>расходы!$C$20:$C$29</c:f>
              <c:numCache>
                <c:formatCode>General</c:formatCode>
                <c:ptCount val="10"/>
                <c:pt idx="0">
                  <c:v>1642</c:v>
                </c:pt>
                <c:pt idx="1">
                  <c:v>36468</c:v>
                </c:pt>
                <c:pt idx="2">
                  <c:v>16324</c:v>
                </c:pt>
                <c:pt idx="3">
                  <c:v>64484</c:v>
                </c:pt>
                <c:pt idx="4">
                  <c:v>20285</c:v>
                </c:pt>
                <c:pt idx="5">
                  <c:v>31456</c:v>
                </c:pt>
                <c:pt idx="6">
                  <c:v>25997</c:v>
                </c:pt>
                <c:pt idx="7">
                  <c:v>34080</c:v>
                </c:pt>
                <c:pt idx="8">
                  <c:v>0</c:v>
                </c:pt>
                <c:pt idx="9">
                  <c:v>21030</c:v>
                </c:pt>
              </c:numCache>
            </c:numRef>
          </c:val>
        </c:ser>
        <c:ser>
          <c:idx val="1"/>
          <c:order val="1"/>
          <c:tx>
            <c:strRef>
              <c:f>расходы!$D$19</c:f>
              <c:strCache>
                <c:ptCount val="1"/>
                <c:pt idx="0">
                  <c:v>2016</c:v>
                </c:pt>
              </c:strCache>
            </c:strRef>
          </c:tx>
          <c:spPr>
            <a:solidFill>
              <a:schemeClr val="bg1">
                <a:lumMod val="65000"/>
              </a:schemeClr>
            </a:solidFill>
            <a:ln>
              <a:solidFill>
                <a:schemeClr val="bg1">
                  <a:lumMod val="75000"/>
                </a:schemeClr>
              </a:solidFill>
            </a:ln>
          </c:spPr>
          <c:invertIfNegative val="0"/>
          <c:dLbls>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расходы!$B$20:$B$29</c:f>
              <c:strCache>
                <c:ptCount val="10"/>
                <c:pt idx="0">
                  <c:v>     функционирование представительных органов муниципальных образований</c:v>
                </c:pt>
                <c:pt idx="1">
                  <c:v>     функционирование местных администраций</c:v>
                </c:pt>
                <c:pt idx="2">
                  <c:v>     национальная экономика</c:v>
                </c:pt>
                <c:pt idx="3">
                  <c:v>     жилищно-коммунальное хозяйство</c:v>
                </c:pt>
                <c:pt idx="4">
                  <c:v>     образование</c:v>
                </c:pt>
                <c:pt idx="5">
                  <c:v>     культура</c:v>
                </c:pt>
                <c:pt idx="6">
                  <c:v>     здравоохранение</c:v>
                </c:pt>
                <c:pt idx="7">
                  <c:v>     социальная политика</c:v>
                </c:pt>
                <c:pt idx="8">
                  <c:v>     физическая культура и спорт</c:v>
                </c:pt>
                <c:pt idx="9">
                  <c:v>     прочие расходы</c:v>
                </c:pt>
              </c:strCache>
            </c:strRef>
          </c:cat>
          <c:val>
            <c:numRef>
              <c:f>расходы!$D$20:$D$29</c:f>
              <c:numCache>
                <c:formatCode>General</c:formatCode>
                <c:ptCount val="10"/>
                <c:pt idx="0">
                  <c:v>764</c:v>
                </c:pt>
                <c:pt idx="1">
                  <c:v>50642</c:v>
                </c:pt>
                <c:pt idx="2">
                  <c:v>40050</c:v>
                </c:pt>
                <c:pt idx="3">
                  <c:v>17998</c:v>
                </c:pt>
                <c:pt idx="4">
                  <c:v>15919</c:v>
                </c:pt>
                <c:pt idx="5">
                  <c:v>33870</c:v>
                </c:pt>
                <c:pt idx="6">
                  <c:v>0</c:v>
                </c:pt>
                <c:pt idx="7">
                  <c:v>30097</c:v>
                </c:pt>
                <c:pt idx="8">
                  <c:v>258</c:v>
                </c:pt>
                <c:pt idx="9">
                  <c:v>13015</c:v>
                </c:pt>
              </c:numCache>
            </c:numRef>
          </c:val>
        </c:ser>
        <c:dLbls>
          <c:showLegendKey val="0"/>
          <c:showVal val="0"/>
          <c:showCatName val="0"/>
          <c:showSerName val="0"/>
          <c:showPercent val="0"/>
          <c:showBubbleSize val="0"/>
        </c:dLbls>
        <c:gapWidth val="75"/>
        <c:overlap val="-25"/>
        <c:axId val="283804416"/>
        <c:axId val="283805952"/>
      </c:barChart>
      <c:catAx>
        <c:axId val="283804416"/>
        <c:scaling>
          <c:orientation val="minMax"/>
        </c:scaling>
        <c:delete val="0"/>
        <c:axPos val="l"/>
        <c:numFmt formatCode="General" sourceLinked="1"/>
        <c:majorTickMark val="none"/>
        <c:minorTickMark val="none"/>
        <c:tickLblPos val="nextTo"/>
        <c:txPr>
          <a:bodyPr/>
          <a:lstStyle/>
          <a:p>
            <a:pPr>
              <a:defRPr sz="900">
                <a:latin typeface="Times New Roman" pitchFamily="18" charset="0"/>
                <a:cs typeface="Times New Roman" pitchFamily="18" charset="0"/>
              </a:defRPr>
            </a:pPr>
            <a:endParaRPr lang="ru-RU"/>
          </a:p>
        </c:txPr>
        <c:crossAx val="283805952"/>
        <c:crosses val="autoZero"/>
        <c:auto val="1"/>
        <c:lblAlgn val="ctr"/>
        <c:lblOffset val="100"/>
        <c:noMultiLvlLbl val="0"/>
      </c:catAx>
      <c:valAx>
        <c:axId val="283805952"/>
        <c:scaling>
          <c:orientation val="minMax"/>
        </c:scaling>
        <c:delete val="1"/>
        <c:axPos val="b"/>
        <c:numFmt formatCode="General" sourceLinked="1"/>
        <c:majorTickMark val="out"/>
        <c:minorTickMark val="none"/>
        <c:tickLblPos val="none"/>
        <c:crossAx val="283804416"/>
        <c:crosses val="autoZero"/>
        <c:crossBetween val="between"/>
      </c:valAx>
    </c:plotArea>
    <c:legend>
      <c:legendPos val="b"/>
      <c:layout>
        <c:manualLayout>
          <c:xMode val="edge"/>
          <c:yMode val="edge"/>
          <c:x val="0.77809635416716671"/>
          <c:y val="3.6552249154281395E-2"/>
          <c:w val="0.17538923145664947"/>
          <c:h val="6.8395585501386719E-2"/>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a:pPr>
            <a:r>
              <a:rPr lang="ru-RU"/>
              <a:t>Камышлинский район занимает 20 место среди муниципальных районов Самарской области по </a:t>
            </a:r>
            <a:r>
              <a:rPr lang="ru-RU" sz="960" b="1" i="0" u="none" strike="noStrike" baseline="0"/>
              <a:t>вводу в действие общей площади </a:t>
            </a:r>
            <a:br>
              <a:rPr lang="ru-RU" sz="960" b="1" i="0" u="none" strike="noStrike" baseline="0"/>
            </a:br>
            <a:r>
              <a:rPr lang="ru-RU" sz="960" b="1" i="0" u="none" strike="noStrike" baseline="0"/>
              <a:t>
</a:t>
            </a:r>
            <a:endParaRPr lang="ru-RU"/>
          </a:p>
        </c:rich>
      </c:tx>
      <c:layout>
        <c:manualLayout>
          <c:xMode val="edge"/>
          <c:yMode val="edge"/>
          <c:x val="0.1101857646722071"/>
          <c:y val="2.5345968030387792E-3"/>
        </c:manualLayout>
      </c:layout>
      <c:overlay val="0"/>
    </c:title>
    <c:autoTitleDeleted val="0"/>
    <c:plotArea>
      <c:layout>
        <c:manualLayout>
          <c:layoutTarget val="inner"/>
          <c:xMode val="edge"/>
          <c:yMode val="edge"/>
          <c:x val="0.24222493555353541"/>
          <c:y val="0.15437964322256328"/>
          <c:w val="0.73713658493559542"/>
          <c:h val="0.8246125456515444"/>
        </c:manualLayout>
      </c:layout>
      <c:barChart>
        <c:barDir val="bar"/>
        <c:grouping val="clustered"/>
        <c:varyColors val="0"/>
        <c:ser>
          <c:idx val="0"/>
          <c:order val="0"/>
          <c:spPr>
            <a:solidFill>
              <a:schemeClr val="accent1"/>
            </a:solidFill>
            <a:ln>
              <a:solidFill>
                <a:schemeClr val="accent1"/>
              </a:solidFill>
            </a:ln>
          </c:spPr>
          <c:invertIfNegative val="0"/>
          <c:dPt>
            <c:idx val="16"/>
            <c:invertIfNegative val="0"/>
            <c:bubble3D val="0"/>
            <c:spPr>
              <a:solidFill>
                <a:srgbClr val="FF0000"/>
              </a:solidFill>
              <a:ln>
                <a:solidFill>
                  <a:srgbClr val="FF0000"/>
                </a:solidFill>
              </a:ln>
            </c:spPr>
          </c:dPt>
          <c:dLbls>
            <c:txPr>
              <a:bodyPr/>
              <a:lstStyle/>
              <a:p>
                <a:pPr>
                  <a:defRPr b="0">
                    <a:solidFill>
                      <a:sysClr val="windowText" lastClr="000000"/>
                    </a:solidFill>
                  </a:defRPr>
                </a:pPr>
                <a:endParaRPr lang="ru-RU"/>
              </a:p>
            </c:txPr>
            <c:dLblPos val="outEnd"/>
            <c:showLegendKey val="0"/>
            <c:showVal val="1"/>
            <c:showCatName val="0"/>
            <c:showSerName val="0"/>
            <c:showPercent val="0"/>
            <c:showBubbleSize val="0"/>
            <c:showLeaderLines val="0"/>
          </c:dLbls>
          <c:cat>
            <c:strRef>
              <c:f>'Дети 1-7 '!$A$4:$A$30</c:f>
              <c:strCache>
                <c:ptCount val="27"/>
                <c:pt idx="0">
                  <c:v>Сызранский</c:v>
                </c:pt>
                <c:pt idx="1">
                  <c:v>Ставропольский</c:v>
                </c:pt>
                <c:pt idx="2">
                  <c:v>Приволжский</c:v>
                </c:pt>
                <c:pt idx="3">
                  <c:v>Клявлинский</c:v>
                </c:pt>
                <c:pt idx="4">
                  <c:v>Нефтегорский</c:v>
                </c:pt>
                <c:pt idx="5">
                  <c:v>Челно-Вершинский</c:v>
                </c:pt>
                <c:pt idx="6">
                  <c:v>Похвистневский</c:v>
                </c:pt>
                <c:pt idx="7">
                  <c:v>Красноярский</c:v>
                </c:pt>
                <c:pt idx="8">
                  <c:v>Елховский</c:v>
                </c:pt>
                <c:pt idx="9">
                  <c:v>Богатовский</c:v>
                </c:pt>
                <c:pt idx="10">
                  <c:v>Борский</c:v>
                </c:pt>
                <c:pt idx="11">
                  <c:v>Алексеевский</c:v>
                </c:pt>
                <c:pt idx="12">
                  <c:v>Шигонский</c:v>
                </c:pt>
                <c:pt idx="13">
                  <c:v>Исаклинский</c:v>
                </c:pt>
                <c:pt idx="14">
                  <c:v>Безенчукский</c:v>
                </c:pt>
                <c:pt idx="15">
                  <c:v>Кинель-Черкасский</c:v>
                </c:pt>
                <c:pt idx="16">
                  <c:v>Камышлинский</c:v>
                </c:pt>
                <c:pt idx="17">
                  <c:v>Кошкинский</c:v>
                </c:pt>
                <c:pt idx="18">
                  <c:v>Шенталинский</c:v>
                </c:pt>
                <c:pt idx="19">
                  <c:v>Кинельский</c:v>
                </c:pt>
                <c:pt idx="20">
                  <c:v>Большеглушицкий</c:v>
                </c:pt>
                <c:pt idx="21">
                  <c:v>Красноармейский</c:v>
                </c:pt>
                <c:pt idx="22">
                  <c:v>Сергиевский</c:v>
                </c:pt>
                <c:pt idx="23">
                  <c:v>Большечерниговский</c:v>
                </c:pt>
                <c:pt idx="24">
                  <c:v>Пестравский</c:v>
                </c:pt>
                <c:pt idx="25">
                  <c:v>Хворостянский</c:v>
                </c:pt>
                <c:pt idx="26">
                  <c:v>Волжский</c:v>
                </c:pt>
              </c:strCache>
            </c:strRef>
          </c:cat>
          <c:val>
            <c:numRef>
              <c:f>'Дети 1-7 '!$B$4:$B$30</c:f>
              <c:numCache>
                <c:formatCode>General</c:formatCode>
                <c:ptCount val="27"/>
                <c:pt idx="0">
                  <c:v>12302.8</c:v>
                </c:pt>
                <c:pt idx="1">
                  <c:v>12688.8</c:v>
                </c:pt>
                <c:pt idx="2">
                  <c:v>12794.5</c:v>
                </c:pt>
                <c:pt idx="3">
                  <c:v>13446</c:v>
                </c:pt>
                <c:pt idx="4">
                  <c:v>13981</c:v>
                </c:pt>
                <c:pt idx="5">
                  <c:v>14753.9</c:v>
                </c:pt>
                <c:pt idx="6">
                  <c:v>15139</c:v>
                </c:pt>
                <c:pt idx="7">
                  <c:v>15177.3</c:v>
                </c:pt>
                <c:pt idx="8">
                  <c:v>15259.8</c:v>
                </c:pt>
                <c:pt idx="9">
                  <c:v>15476.4</c:v>
                </c:pt>
                <c:pt idx="10">
                  <c:v>15598.1</c:v>
                </c:pt>
                <c:pt idx="11">
                  <c:v>15636</c:v>
                </c:pt>
                <c:pt idx="12">
                  <c:v>16647.400000000001</c:v>
                </c:pt>
                <c:pt idx="13">
                  <c:v>16753.3</c:v>
                </c:pt>
                <c:pt idx="14">
                  <c:v>17528.900000000001</c:v>
                </c:pt>
                <c:pt idx="15">
                  <c:v>17852.8</c:v>
                </c:pt>
                <c:pt idx="16">
                  <c:v>17980.599999999937</c:v>
                </c:pt>
                <c:pt idx="17">
                  <c:v>18649</c:v>
                </c:pt>
                <c:pt idx="18">
                  <c:v>19319.900000000001</c:v>
                </c:pt>
                <c:pt idx="19">
                  <c:v>20183.599999999937</c:v>
                </c:pt>
                <c:pt idx="20">
                  <c:v>20755.7</c:v>
                </c:pt>
                <c:pt idx="21">
                  <c:v>23951</c:v>
                </c:pt>
                <c:pt idx="22">
                  <c:v>24188.1</c:v>
                </c:pt>
                <c:pt idx="23">
                  <c:v>24419.4</c:v>
                </c:pt>
                <c:pt idx="24">
                  <c:v>27748.799999999996</c:v>
                </c:pt>
                <c:pt idx="25">
                  <c:v>29184.799999999996</c:v>
                </c:pt>
                <c:pt idx="26">
                  <c:v>35783.599999999999</c:v>
                </c:pt>
              </c:numCache>
            </c:numRef>
          </c:val>
        </c:ser>
        <c:ser>
          <c:idx val="1"/>
          <c:order val="1"/>
          <c:tx>
            <c:v>1</c:v>
          </c:tx>
          <c:spPr>
            <a:noFill/>
            <a:ln>
              <a:noFill/>
            </a:ln>
          </c:spPr>
          <c:invertIfNegative val="0"/>
          <c:dLbls>
            <c:delete val="1"/>
          </c:dLbls>
          <c:trendline>
            <c:spPr>
              <a:ln>
                <a:prstDash val="sysDash"/>
              </a:ln>
            </c:spPr>
            <c:trendlineType val="linear"/>
            <c:dispRSqr val="0"/>
            <c:dispEq val="0"/>
          </c:trendline>
          <c:val>
            <c:numRef>
              <c:f>'Дети 1-7 '!$C$4:$C$30</c:f>
              <c:numCache>
                <c:formatCode>0.0</c:formatCode>
                <c:ptCount val="27"/>
                <c:pt idx="0">
                  <c:v>18637.055555555497</c:v>
                </c:pt>
                <c:pt idx="1">
                  <c:v>18637.055555555497</c:v>
                </c:pt>
                <c:pt idx="2">
                  <c:v>18637.055555555497</c:v>
                </c:pt>
                <c:pt idx="3">
                  <c:v>18637.055555555497</c:v>
                </c:pt>
                <c:pt idx="4">
                  <c:v>18637.055555555497</c:v>
                </c:pt>
                <c:pt idx="5">
                  <c:v>18637.055555555497</c:v>
                </c:pt>
                <c:pt idx="6">
                  <c:v>18637.055555555497</c:v>
                </c:pt>
                <c:pt idx="7">
                  <c:v>18637.055555555497</c:v>
                </c:pt>
                <c:pt idx="8">
                  <c:v>18637.055555555497</c:v>
                </c:pt>
                <c:pt idx="9">
                  <c:v>18637.055555555497</c:v>
                </c:pt>
                <c:pt idx="10">
                  <c:v>18637.055555555497</c:v>
                </c:pt>
                <c:pt idx="11">
                  <c:v>18637.055555555497</c:v>
                </c:pt>
                <c:pt idx="12">
                  <c:v>18637.055555555497</c:v>
                </c:pt>
                <c:pt idx="13">
                  <c:v>18637.055555555497</c:v>
                </c:pt>
                <c:pt idx="14">
                  <c:v>18637.055555555497</c:v>
                </c:pt>
                <c:pt idx="15">
                  <c:v>18637.055555555497</c:v>
                </c:pt>
                <c:pt idx="16">
                  <c:v>18637.055555555497</c:v>
                </c:pt>
                <c:pt idx="17">
                  <c:v>18637.055555555497</c:v>
                </c:pt>
                <c:pt idx="18">
                  <c:v>18637.055555555497</c:v>
                </c:pt>
                <c:pt idx="19">
                  <c:v>18637.055555555497</c:v>
                </c:pt>
                <c:pt idx="20">
                  <c:v>18637.055555555497</c:v>
                </c:pt>
                <c:pt idx="21">
                  <c:v>18637.055555555497</c:v>
                </c:pt>
                <c:pt idx="22">
                  <c:v>18637.055555555497</c:v>
                </c:pt>
                <c:pt idx="23">
                  <c:v>18637.055555555497</c:v>
                </c:pt>
                <c:pt idx="24">
                  <c:v>18637.055555555497</c:v>
                </c:pt>
                <c:pt idx="25">
                  <c:v>18637.055555555497</c:v>
                </c:pt>
                <c:pt idx="26">
                  <c:v>18637.055555555497</c:v>
                </c:pt>
              </c:numCache>
            </c:numRef>
          </c:val>
        </c:ser>
        <c:dLbls>
          <c:showLegendKey val="0"/>
          <c:showVal val="1"/>
          <c:showCatName val="0"/>
          <c:showSerName val="0"/>
          <c:showPercent val="0"/>
          <c:showBubbleSize val="0"/>
        </c:dLbls>
        <c:gapWidth val="150"/>
        <c:axId val="283857664"/>
        <c:axId val="283859200"/>
      </c:barChart>
      <c:catAx>
        <c:axId val="283857664"/>
        <c:scaling>
          <c:orientation val="minMax"/>
        </c:scaling>
        <c:delete val="0"/>
        <c:axPos val="l"/>
        <c:numFmt formatCode="General" sourceLinked="1"/>
        <c:majorTickMark val="out"/>
        <c:minorTickMark val="none"/>
        <c:tickLblPos val="nextTo"/>
        <c:txPr>
          <a:bodyPr/>
          <a:lstStyle/>
          <a:p>
            <a:pPr>
              <a:defRPr>
                <a:solidFill>
                  <a:sysClr val="windowText" lastClr="000000"/>
                </a:solidFill>
              </a:defRPr>
            </a:pPr>
            <a:endParaRPr lang="ru-RU"/>
          </a:p>
        </c:txPr>
        <c:crossAx val="283859200"/>
        <c:crosses val="autoZero"/>
        <c:auto val="1"/>
        <c:lblAlgn val="ctr"/>
        <c:lblOffset val="100"/>
        <c:noMultiLvlLbl val="0"/>
      </c:catAx>
      <c:valAx>
        <c:axId val="283859200"/>
        <c:scaling>
          <c:orientation val="minMax"/>
        </c:scaling>
        <c:delete val="1"/>
        <c:axPos val="b"/>
        <c:numFmt formatCode="General" sourceLinked="1"/>
        <c:majorTickMark val="out"/>
        <c:minorTickMark val="none"/>
        <c:tickLblPos val="none"/>
        <c:crossAx val="283857664"/>
        <c:crosses val="autoZero"/>
        <c:crossBetween val="between"/>
      </c:valAx>
      <c:spPr>
        <a:noFill/>
        <a:ln w="25400">
          <a:noFill/>
        </a:ln>
      </c:spPr>
    </c:plotArea>
    <c:plotVisOnly val="1"/>
    <c:dispBlanksAs val="gap"/>
    <c:showDLblsOverMax val="0"/>
  </c:chart>
  <c:spPr>
    <a:noFill/>
  </c:spPr>
  <c:txPr>
    <a:bodyPr/>
    <a:lstStyle/>
    <a:p>
      <a:pPr>
        <a:defRPr sz="800">
          <a:solidFill>
            <a:schemeClr val="accent1">
              <a:lumMod val="50000"/>
            </a:schemeClr>
          </a:solidFill>
          <a:latin typeface="Times New Roman" pitchFamily="18" charset="0"/>
          <a:cs typeface="Times New Roman" pitchFamily="18" charset="0"/>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6870475083225"/>
          <c:y val="0.10348650979425897"/>
          <c:w val="0.69360710155562644"/>
          <c:h val="0.8172498857748749"/>
        </c:manualLayout>
      </c:layout>
      <c:barChart>
        <c:barDir val="bar"/>
        <c:grouping val="percentStacked"/>
        <c:varyColors val="0"/>
        <c:ser>
          <c:idx val="0"/>
          <c:order val="0"/>
          <c:tx>
            <c:strRef>
              <c:f>Возраст!$B$2</c:f>
              <c:strCache>
                <c:ptCount val="1"/>
                <c:pt idx="0">
                  <c:v>До 17 лет</c:v>
                </c:pt>
              </c:strCache>
            </c:strRef>
          </c:tx>
          <c:invertIfNegative val="0"/>
          <c:dLbls>
            <c:dLblPos val="inBase"/>
            <c:showLegendKey val="0"/>
            <c:showVal val="1"/>
            <c:showCatName val="0"/>
            <c:showSerName val="0"/>
            <c:showPercent val="0"/>
            <c:showBubbleSize val="0"/>
            <c:showLeaderLines val="0"/>
          </c:dLbls>
          <c:cat>
            <c:strRef>
              <c:f>Возраст!$A$3:$A$29</c:f>
              <c:strCache>
                <c:ptCount val="27"/>
                <c:pt idx="0">
                  <c:v>Елховский</c:v>
                </c:pt>
                <c:pt idx="1">
                  <c:v>Приволжский</c:v>
                </c:pt>
                <c:pt idx="2">
                  <c:v>Кинельский </c:v>
                </c:pt>
                <c:pt idx="3">
                  <c:v>Волжский </c:v>
                </c:pt>
                <c:pt idx="4">
                  <c:v>Большеглушицкий</c:v>
                </c:pt>
                <c:pt idx="5">
                  <c:v>Хворостянский </c:v>
                </c:pt>
                <c:pt idx="6">
                  <c:v>Борский</c:v>
                </c:pt>
                <c:pt idx="7">
                  <c:v>Исаклинский </c:v>
                </c:pt>
                <c:pt idx="8">
                  <c:v>Шигонский</c:v>
                </c:pt>
                <c:pt idx="9">
                  <c:v>Шенталинский</c:v>
                </c:pt>
                <c:pt idx="10">
                  <c:v>Красноармейский </c:v>
                </c:pt>
                <c:pt idx="11">
                  <c:v>Челно-Вершинский </c:v>
                </c:pt>
                <c:pt idx="12">
                  <c:v>Нефтегорский </c:v>
                </c:pt>
                <c:pt idx="13">
                  <c:v>Большечерниговский</c:v>
                </c:pt>
                <c:pt idx="14">
                  <c:v>Кинель-Черкасский </c:v>
                </c:pt>
                <c:pt idx="15">
                  <c:v>Алексеевский</c:v>
                </c:pt>
                <c:pt idx="16">
                  <c:v>Сергиевский</c:v>
                </c:pt>
                <c:pt idx="17">
                  <c:v>Похвистневский</c:v>
                </c:pt>
                <c:pt idx="18">
                  <c:v>Ставропольский </c:v>
                </c:pt>
                <c:pt idx="19">
                  <c:v>Клявлинский </c:v>
                </c:pt>
                <c:pt idx="20">
                  <c:v>Безенчукский</c:v>
                </c:pt>
                <c:pt idx="21">
                  <c:v>Кошкинский</c:v>
                </c:pt>
                <c:pt idx="22">
                  <c:v>Красноярский </c:v>
                </c:pt>
                <c:pt idx="23">
                  <c:v>Сызранский </c:v>
                </c:pt>
                <c:pt idx="24">
                  <c:v>Пестравский </c:v>
                </c:pt>
                <c:pt idx="25">
                  <c:v>Богатовский </c:v>
                </c:pt>
                <c:pt idx="26">
                  <c:v>Камышлинский</c:v>
                </c:pt>
              </c:strCache>
            </c:strRef>
          </c:cat>
          <c:val>
            <c:numRef>
              <c:f>Возраст!$B$3:$B$29</c:f>
              <c:numCache>
                <c:formatCode>0.0</c:formatCode>
                <c:ptCount val="27"/>
                <c:pt idx="0">
                  <c:v>16.077808654227891</c:v>
                </c:pt>
                <c:pt idx="1">
                  <c:v>16.182107551949013</c:v>
                </c:pt>
                <c:pt idx="2">
                  <c:v>16.268850494357327</c:v>
                </c:pt>
                <c:pt idx="3">
                  <c:v>16.463144574501623</c:v>
                </c:pt>
                <c:pt idx="4">
                  <c:v>16.494263123476635</c:v>
                </c:pt>
                <c:pt idx="5">
                  <c:v>16.668619639090689</c:v>
                </c:pt>
                <c:pt idx="6">
                  <c:v>16.709390178089585</c:v>
                </c:pt>
                <c:pt idx="7">
                  <c:v>16.735342302536779</c:v>
                </c:pt>
                <c:pt idx="8">
                  <c:v>17.09173715029279</c:v>
                </c:pt>
                <c:pt idx="9">
                  <c:v>17.211369897320289</c:v>
                </c:pt>
                <c:pt idx="10">
                  <c:v>17.265164279696716</c:v>
                </c:pt>
                <c:pt idx="11">
                  <c:v>17.350846426398544</c:v>
                </c:pt>
                <c:pt idx="12">
                  <c:v>17.46188873490398</c:v>
                </c:pt>
                <c:pt idx="13">
                  <c:v>17.677463818056587</c:v>
                </c:pt>
                <c:pt idx="14">
                  <c:v>17.709068271425586</c:v>
                </c:pt>
                <c:pt idx="15">
                  <c:v>17.75153144418492</c:v>
                </c:pt>
                <c:pt idx="16">
                  <c:v>17.87459706769269</c:v>
                </c:pt>
                <c:pt idx="17">
                  <c:v>17.895433961588687</c:v>
                </c:pt>
                <c:pt idx="18">
                  <c:v>17.948717948717857</c:v>
                </c:pt>
                <c:pt idx="19">
                  <c:v>18.18560224335091</c:v>
                </c:pt>
                <c:pt idx="20">
                  <c:v>18.366479687234406</c:v>
                </c:pt>
                <c:pt idx="21">
                  <c:v>18.454687152081942</c:v>
                </c:pt>
                <c:pt idx="22">
                  <c:v>18.557551319648159</c:v>
                </c:pt>
                <c:pt idx="23">
                  <c:v>19.059434506635846</c:v>
                </c:pt>
                <c:pt idx="24">
                  <c:v>19.167722977644619</c:v>
                </c:pt>
                <c:pt idx="25">
                  <c:v>19.447055137844664</c:v>
                </c:pt>
                <c:pt idx="26">
                  <c:v>20.996441281138718</c:v>
                </c:pt>
              </c:numCache>
            </c:numRef>
          </c:val>
        </c:ser>
        <c:ser>
          <c:idx val="1"/>
          <c:order val="1"/>
          <c:tx>
            <c:strRef>
              <c:f>Возраст!$C$2</c:f>
              <c:strCache>
                <c:ptCount val="1"/>
                <c:pt idx="0">
                  <c:v>17-60</c:v>
                </c:pt>
              </c:strCache>
            </c:strRef>
          </c:tx>
          <c:invertIfNegative val="0"/>
          <c:dLbls>
            <c:dLblPos val="inBase"/>
            <c:showLegendKey val="0"/>
            <c:showVal val="1"/>
            <c:showCatName val="0"/>
            <c:showSerName val="0"/>
            <c:showPercent val="0"/>
            <c:showBubbleSize val="0"/>
            <c:showLeaderLines val="0"/>
          </c:dLbls>
          <c:cat>
            <c:strRef>
              <c:f>Возраст!$A$3:$A$29</c:f>
              <c:strCache>
                <c:ptCount val="27"/>
                <c:pt idx="0">
                  <c:v>Елховский</c:v>
                </c:pt>
                <c:pt idx="1">
                  <c:v>Приволжский</c:v>
                </c:pt>
                <c:pt idx="2">
                  <c:v>Кинельский </c:v>
                </c:pt>
                <c:pt idx="3">
                  <c:v>Волжский </c:v>
                </c:pt>
                <c:pt idx="4">
                  <c:v>Большеглушицкий</c:v>
                </c:pt>
                <c:pt idx="5">
                  <c:v>Хворостянский </c:v>
                </c:pt>
                <c:pt idx="6">
                  <c:v>Борский</c:v>
                </c:pt>
                <c:pt idx="7">
                  <c:v>Исаклинский </c:v>
                </c:pt>
                <c:pt idx="8">
                  <c:v>Шигонский</c:v>
                </c:pt>
                <c:pt idx="9">
                  <c:v>Шенталинский</c:v>
                </c:pt>
                <c:pt idx="10">
                  <c:v>Красноармейский </c:v>
                </c:pt>
                <c:pt idx="11">
                  <c:v>Челно-Вершинский </c:v>
                </c:pt>
                <c:pt idx="12">
                  <c:v>Нефтегорский </c:v>
                </c:pt>
                <c:pt idx="13">
                  <c:v>Большечерниговский</c:v>
                </c:pt>
                <c:pt idx="14">
                  <c:v>Кинель-Черкасский </c:v>
                </c:pt>
                <c:pt idx="15">
                  <c:v>Алексеевский</c:v>
                </c:pt>
                <c:pt idx="16">
                  <c:v>Сергиевский</c:v>
                </c:pt>
                <c:pt idx="17">
                  <c:v>Похвистневский</c:v>
                </c:pt>
                <c:pt idx="18">
                  <c:v>Ставропольский </c:v>
                </c:pt>
                <c:pt idx="19">
                  <c:v>Клявлинский </c:v>
                </c:pt>
                <c:pt idx="20">
                  <c:v>Безенчукский</c:v>
                </c:pt>
                <c:pt idx="21">
                  <c:v>Кошкинский</c:v>
                </c:pt>
                <c:pt idx="22">
                  <c:v>Красноярский </c:v>
                </c:pt>
                <c:pt idx="23">
                  <c:v>Сызранский </c:v>
                </c:pt>
                <c:pt idx="24">
                  <c:v>Пестравский </c:v>
                </c:pt>
                <c:pt idx="25">
                  <c:v>Богатовский </c:v>
                </c:pt>
                <c:pt idx="26">
                  <c:v>Камышлинский</c:v>
                </c:pt>
              </c:strCache>
            </c:strRef>
          </c:cat>
          <c:val>
            <c:numRef>
              <c:f>Возраст!$C$3:$C$29</c:f>
              <c:numCache>
                <c:formatCode>0.0</c:formatCode>
                <c:ptCount val="27"/>
                <c:pt idx="0">
                  <c:v>55.663114178398018</c:v>
                </c:pt>
                <c:pt idx="1">
                  <c:v>60.926677276904812</c:v>
                </c:pt>
                <c:pt idx="2">
                  <c:v>49.270947767901731</c:v>
                </c:pt>
                <c:pt idx="3">
                  <c:v>55.412844036697088</c:v>
                </c:pt>
                <c:pt idx="4">
                  <c:v>56.575114440282981</c:v>
                </c:pt>
                <c:pt idx="5">
                  <c:v>55.548394656667327</c:v>
                </c:pt>
                <c:pt idx="6">
                  <c:v>56.206152185644903</c:v>
                </c:pt>
                <c:pt idx="7">
                  <c:v>55.254927270019344</c:v>
                </c:pt>
                <c:pt idx="8">
                  <c:v>53.162003903708523</c:v>
                </c:pt>
                <c:pt idx="9">
                  <c:v>58.5274229902329</c:v>
                </c:pt>
                <c:pt idx="10">
                  <c:v>56.913437236731255</c:v>
                </c:pt>
                <c:pt idx="11">
                  <c:v>54.414659461006913</c:v>
                </c:pt>
                <c:pt idx="12">
                  <c:v>52.504454563452612</c:v>
                </c:pt>
                <c:pt idx="13">
                  <c:v>54.169538249483246</c:v>
                </c:pt>
                <c:pt idx="14">
                  <c:v>53.824444905581998</c:v>
                </c:pt>
                <c:pt idx="15">
                  <c:v>56.273412366136363</c:v>
                </c:pt>
                <c:pt idx="16">
                  <c:v>54.195695123219302</c:v>
                </c:pt>
                <c:pt idx="17">
                  <c:v>56.301347795736241</c:v>
                </c:pt>
                <c:pt idx="18">
                  <c:v>49.337841645533857</c:v>
                </c:pt>
                <c:pt idx="19">
                  <c:v>56.36419401480962</c:v>
                </c:pt>
                <c:pt idx="20">
                  <c:v>56.44229134795183</c:v>
                </c:pt>
                <c:pt idx="21">
                  <c:v>54.188376753507015</c:v>
                </c:pt>
                <c:pt idx="22">
                  <c:v>54.527126099706749</c:v>
                </c:pt>
                <c:pt idx="23">
                  <c:v>54.246970571263567</c:v>
                </c:pt>
                <c:pt idx="24">
                  <c:v>55.331009449181835</c:v>
                </c:pt>
                <c:pt idx="25">
                  <c:v>54.597431077694097</c:v>
                </c:pt>
                <c:pt idx="26">
                  <c:v>54.609653024911033</c:v>
                </c:pt>
              </c:numCache>
            </c:numRef>
          </c:val>
        </c:ser>
        <c:ser>
          <c:idx val="2"/>
          <c:order val="2"/>
          <c:tx>
            <c:strRef>
              <c:f>Возраст!$D$2</c:f>
              <c:strCache>
                <c:ptCount val="1"/>
                <c:pt idx="0">
                  <c:v>Старше 60 лет</c:v>
                </c:pt>
              </c:strCache>
            </c:strRef>
          </c:tx>
          <c:invertIfNegative val="0"/>
          <c:dLbls>
            <c:dLblPos val="inBase"/>
            <c:showLegendKey val="0"/>
            <c:showVal val="1"/>
            <c:showCatName val="0"/>
            <c:showSerName val="0"/>
            <c:showPercent val="0"/>
            <c:showBubbleSize val="0"/>
            <c:showLeaderLines val="0"/>
          </c:dLbls>
          <c:cat>
            <c:strRef>
              <c:f>Возраст!$A$3:$A$29</c:f>
              <c:strCache>
                <c:ptCount val="27"/>
                <c:pt idx="0">
                  <c:v>Елховский</c:v>
                </c:pt>
                <c:pt idx="1">
                  <c:v>Приволжский</c:v>
                </c:pt>
                <c:pt idx="2">
                  <c:v>Кинельский </c:v>
                </c:pt>
                <c:pt idx="3">
                  <c:v>Волжский </c:v>
                </c:pt>
                <c:pt idx="4">
                  <c:v>Большеглушицкий</c:v>
                </c:pt>
                <c:pt idx="5">
                  <c:v>Хворостянский </c:v>
                </c:pt>
                <c:pt idx="6">
                  <c:v>Борский</c:v>
                </c:pt>
                <c:pt idx="7">
                  <c:v>Исаклинский </c:v>
                </c:pt>
                <c:pt idx="8">
                  <c:v>Шигонский</c:v>
                </c:pt>
                <c:pt idx="9">
                  <c:v>Шенталинский</c:v>
                </c:pt>
                <c:pt idx="10">
                  <c:v>Красноармейский </c:v>
                </c:pt>
                <c:pt idx="11">
                  <c:v>Челно-Вершинский </c:v>
                </c:pt>
                <c:pt idx="12">
                  <c:v>Нефтегорский </c:v>
                </c:pt>
                <c:pt idx="13">
                  <c:v>Большечерниговский</c:v>
                </c:pt>
                <c:pt idx="14">
                  <c:v>Кинель-Черкасский </c:v>
                </c:pt>
                <c:pt idx="15">
                  <c:v>Алексеевский</c:v>
                </c:pt>
                <c:pt idx="16">
                  <c:v>Сергиевский</c:v>
                </c:pt>
                <c:pt idx="17">
                  <c:v>Похвистневский</c:v>
                </c:pt>
                <c:pt idx="18">
                  <c:v>Ставропольский </c:v>
                </c:pt>
                <c:pt idx="19">
                  <c:v>Клявлинский </c:v>
                </c:pt>
                <c:pt idx="20">
                  <c:v>Безенчукский</c:v>
                </c:pt>
                <c:pt idx="21">
                  <c:v>Кошкинский</c:v>
                </c:pt>
                <c:pt idx="22">
                  <c:v>Красноярский </c:v>
                </c:pt>
                <c:pt idx="23">
                  <c:v>Сызранский </c:v>
                </c:pt>
                <c:pt idx="24">
                  <c:v>Пестравский </c:v>
                </c:pt>
                <c:pt idx="25">
                  <c:v>Богатовский </c:v>
                </c:pt>
                <c:pt idx="26">
                  <c:v>Камышлинский</c:v>
                </c:pt>
              </c:strCache>
            </c:strRef>
          </c:cat>
          <c:val>
            <c:numRef>
              <c:f>Возраст!$D$3:$D$29</c:f>
              <c:numCache>
                <c:formatCode>0.0</c:formatCode>
                <c:ptCount val="27"/>
                <c:pt idx="0">
                  <c:v>28.25907716737413</c:v>
                </c:pt>
                <c:pt idx="1">
                  <c:v>22.891215171146133</c:v>
                </c:pt>
                <c:pt idx="2">
                  <c:v>34.460201737740924</c:v>
                </c:pt>
                <c:pt idx="3">
                  <c:v>28.12401138880103</c:v>
                </c:pt>
                <c:pt idx="4">
                  <c:v>26.930622436240416</c:v>
                </c:pt>
                <c:pt idx="5">
                  <c:v>27.78298570424186</c:v>
                </c:pt>
                <c:pt idx="6">
                  <c:v>27.084457636265512</c:v>
                </c:pt>
                <c:pt idx="7">
                  <c:v>28.009730427443781</c:v>
                </c:pt>
                <c:pt idx="8">
                  <c:v>29.746258945998701</c:v>
                </c:pt>
                <c:pt idx="9">
                  <c:v>24.26120711244679</c:v>
                </c:pt>
                <c:pt idx="10">
                  <c:v>25.821398483572032</c:v>
                </c:pt>
                <c:pt idx="11">
                  <c:v>28.234494112594394</c:v>
                </c:pt>
                <c:pt idx="12">
                  <c:v>30.033656701643242</c:v>
                </c:pt>
                <c:pt idx="13">
                  <c:v>28.152997932460373</c:v>
                </c:pt>
                <c:pt idx="14">
                  <c:v>28.466486822992263</c:v>
                </c:pt>
                <c:pt idx="15">
                  <c:v>25.975056189678725</c:v>
                </c:pt>
                <c:pt idx="16">
                  <c:v>27.929707809088072</c:v>
                </c:pt>
                <c:pt idx="17">
                  <c:v>25.803218242674827</c:v>
                </c:pt>
                <c:pt idx="18">
                  <c:v>32.713440405747939</c:v>
                </c:pt>
                <c:pt idx="19">
                  <c:v>25.450203741839324</c:v>
                </c:pt>
                <c:pt idx="20">
                  <c:v>25.191228964813895</c:v>
                </c:pt>
                <c:pt idx="21">
                  <c:v>27.356936094411044</c:v>
                </c:pt>
                <c:pt idx="22">
                  <c:v>26.915322580645078</c:v>
                </c:pt>
                <c:pt idx="23">
                  <c:v>26.693594922100431</c:v>
                </c:pt>
                <c:pt idx="24">
                  <c:v>25.501267573173529</c:v>
                </c:pt>
                <c:pt idx="25">
                  <c:v>25.955513784461068</c:v>
                </c:pt>
                <c:pt idx="26">
                  <c:v>24.393905693950195</c:v>
                </c:pt>
              </c:numCache>
            </c:numRef>
          </c:val>
        </c:ser>
        <c:dLbls>
          <c:showLegendKey val="0"/>
          <c:showVal val="1"/>
          <c:showCatName val="0"/>
          <c:showSerName val="0"/>
          <c:showPercent val="0"/>
          <c:showBubbleSize val="0"/>
        </c:dLbls>
        <c:gapWidth val="150"/>
        <c:overlap val="100"/>
        <c:axId val="273740544"/>
        <c:axId val="273742080"/>
      </c:barChart>
      <c:catAx>
        <c:axId val="273740544"/>
        <c:scaling>
          <c:orientation val="minMax"/>
        </c:scaling>
        <c:delete val="0"/>
        <c:axPos val="l"/>
        <c:majorTickMark val="out"/>
        <c:minorTickMark val="none"/>
        <c:tickLblPos val="nextTo"/>
        <c:crossAx val="273742080"/>
        <c:crosses val="autoZero"/>
        <c:auto val="1"/>
        <c:lblAlgn val="ctr"/>
        <c:lblOffset val="100"/>
        <c:noMultiLvlLbl val="0"/>
      </c:catAx>
      <c:valAx>
        <c:axId val="273742080"/>
        <c:scaling>
          <c:orientation val="minMax"/>
        </c:scaling>
        <c:delete val="1"/>
        <c:axPos val="b"/>
        <c:numFmt formatCode="0%" sourceLinked="1"/>
        <c:majorTickMark val="out"/>
        <c:minorTickMark val="none"/>
        <c:tickLblPos val="none"/>
        <c:crossAx val="273740544"/>
        <c:crosses val="autoZero"/>
        <c:crossBetween val="between"/>
      </c:valAx>
      <c:spPr>
        <a:noFill/>
      </c:spPr>
    </c:plotArea>
    <c:legend>
      <c:legendPos val="b"/>
      <c:layout>
        <c:manualLayout>
          <c:xMode val="edge"/>
          <c:yMode val="edge"/>
          <c:x val="0.16249985954863336"/>
          <c:y val="0.93817720670722748"/>
          <c:w val="0.7496675795849177"/>
          <c:h val="3.6395210526489509E-2"/>
        </c:manualLayout>
      </c:layout>
      <c:overlay val="0"/>
    </c:legend>
    <c:plotVisOnly val="1"/>
    <c:dispBlanksAs val="gap"/>
    <c:showDLblsOverMax val="0"/>
  </c:chart>
  <c:spPr>
    <a:noFill/>
  </c:spPr>
  <c:txPr>
    <a:bodyPr/>
    <a:lstStyle/>
    <a:p>
      <a:pPr>
        <a:defRPr sz="800" baseline="0">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659685078828936E-2"/>
          <c:y val="0.29092598212241866"/>
          <c:w val="0.57169701216582203"/>
          <c:h val="0.60458971533223649"/>
        </c:manualLayout>
      </c:layout>
      <c:barChart>
        <c:barDir val="col"/>
        <c:grouping val="clustered"/>
        <c:varyColors val="0"/>
        <c:ser>
          <c:idx val="0"/>
          <c:order val="0"/>
          <c:tx>
            <c:strRef>
              <c:f>'Доля населения мл-труд-старше'!$Q$78</c:f>
              <c:strCache>
                <c:ptCount val="1"/>
                <c:pt idx="0">
                  <c:v>Моложе трудоспособного</c:v>
                </c:pt>
              </c:strCache>
            </c:strRef>
          </c:tx>
          <c:invertIfNegative val="0"/>
          <c:cat>
            <c:strRef>
              <c:f>'Доля населения мл-труд-старше'!$R$77:$T$77</c:f>
              <c:strCache>
                <c:ptCount val="3"/>
                <c:pt idx="0">
                  <c:v>Камышлинский р-он</c:v>
                </c:pt>
                <c:pt idx="1">
                  <c:v>Самарская обл.</c:v>
                </c:pt>
                <c:pt idx="2">
                  <c:v>РФ</c:v>
                </c:pt>
              </c:strCache>
            </c:strRef>
          </c:cat>
          <c:val>
            <c:numRef>
              <c:f>'Доля населения мл-труд-старше'!$R$78:$T$78</c:f>
              <c:numCache>
                <c:formatCode>General</c:formatCode>
                <c:ptCount val="3"/>
                <c:pt idx="0">
                  <c:v>18.600000000000001</c:v>
                </c:pt>
                <c:pt idx="1">
                  <c:v>17.83410909878263</c:v>
                </c:pt>
                <c:pt idx="2">
                  <c:v>20.165731229482152</c:v>
                </c:pt>
              </c:numCache>
            </c:numRef>
          </c:val>
        </c:ser>
        <c:ser>
          <c:idx val="1"/>
          <c:order val="1"/>
          <c:tx>
            <c:strRef>
              <c:f>'Доля населения мл-труд-старше'!$Q$79</c:f>
              <c:strCache>
                <c:ptCount val="1"/>
                <c:pt idx="0">
                  <c:v>Трудоспособное</c:v>
                </c:pt>
              </c:strCache>
            </c:strRef>
          </c:tx>
          <c:invertIfNegative val="0"/>
          <c:cat>
            <c:strRef>
              <c:f>'Доля населения мл-труд-старше'!$R$77:$T$77</c:f>
              <c:strCache>
                <c:ptCount val="3"/>
                <c:pt idx="0">
                  <c:v>Камышлинский р-он</c:v>
                </c:pt>
                <c:pt idx="1">
                  <c:v>Самарская обл.</c:v>
                </c:pt>
                <c:pt idx="2">
                  <c:v>РФ</c:v>
                </c:pt>
              </c:strCache>
            </c:strRef>
          </c:cat>
          <c:val>
            <c:numRef>
              <c:f>'Доля населения мл-труд-старше'!$R$79:$T$79</c:f>
              <c:numCache>
                <c:formatCode>General</c:formatCode>
                <c:ptCount val="3"/>
                <c:pt idx="0">
                  <c:v>54.5</c:v>
                </c:pt>
                <c:pt idx="1">
                  <c:v>54.518349130539249</c:v>
                </c:pt>
                <c:pt idx="2">
                  <c:v>54.291538705919891</c:v>
                </c:pt>
              </c:numCache>
            </c:numRef>
          </c:val>
        </c:ser>
        <c:ser>
          <c:idx val="2"/>
          <c:order val="2"/>
          <c:tx>
            <c:strRef>
              <c:f>'Доля населения мл-труд-старше'!$Q$80</c:f>
              <c:strCache>
                <c:ptCount val="1"/>
                <c:pt idx="0">
                  <c:v>Старше трудоспособного</c:v>
                </c:pt>
              </c:strCache>
            </c:strRef>
          </c:tx>
          <c:spPr>
            <a:solidFill>
              <a:schemeClr val="bg1">
                <a:lumMod val="85000"/>
              </a:schemeClr>
            </a:solidFill>
          </c:spPr>
          <c:invertIfNegative val="0"/>
          <c:cat>
            <c:strRef>
              <c:f>'Доля населения мл-труд-старше'!$R$77:$T$77</c:f>
              <c:strCache>
                <c:ptCount val="3"/>
                <c:pt idx="0">
                  <c:v>Камышлинский р-он</c:v>
                </c:pt>
                <c:pt idx="1">
                  <c:v>Самарская обл.</c:v>
                </c:pt>
                <c:pt idx="2">
                  <c:v>РФ</c:v>
                </c:pt>
              </c:strCache>
            </c:strRef>
          </c:cat>
          <c:val>
            <c:numRef>
              <c:f>'Доля населения мл-труд-старше'!$R$80:$T$80</c:f>
              <c:numCache>
                <c:formatCode>General</c:formatCode>
                <c:ptCount val="3"/>
                <c:pt idx="0">
                  <c:v>26.9</c:v>
                </c:pt>
                <c:pt idx="1">
                  <c:v>27.647541770678227</c:v>
                </c:pt>
                <c:pt idx="2">
                  <c:v>25.542730064598089</c:v>
                </c:pt>
              </c:numCache>
            </c:numRef>
          </c:val>
        </c:ser>
        <c:dLbls>
          <c:showLegendKey val="0"/>
          <c:showVal val="0"/>
          <c:showCatName val="0"/>
          <c:showSerName val="0"/>
          <c:showPercent val="0"/>
          <c:showBubbleSize val="0"/>
        </c:dLbls>
        <c:gapWidth val="150"/>
        <c:axId val="268396800"/>
        <c:axId val="268414976"/>
      </c:barChart>
      <c:catAx>
        <c:axId val="268396800"/>
        <c:scaling>
          <c:orientation val="minMax"/>
        </c:scaling>
        <c:delete val="0"/>
        <c:axPos val="b"/>
        <c:numFmt formatCode="General" sourceLinked="1"/>
        <c:majorTickMark val="none"/>
        <c:minorTickMark val="none"/>
        <c:tickLblPos val="nextTo"/>
        <c:txPr>
          <a:bodyPr/>
          <a:lstStyle/>
          <a:p>
            <a:pPr>
              <a:defRPr sz="800" baseline="0"/>
            </a:pPr>
            <a:endParaRPr lang="ru-RU"/>
          </a:p>
        </c:txPr>
        <c:crossAx val="268414976"/>
        <c:crosses val="autoZero"/>
        <c:auto val="1"/>
        <c:lblAlgn val="ctr"/>
        <c:lblOffset val="100"/>
        <c:noMultiLvlLbl val="0"/>
      </c:catAx>
      <c:valAx>
        <c:axId val="268414976"/>
        <c:scaling>
          <c:orientation val="minMax"/>
        </c:scaling>
        <c:delete val="0"/>
        <c:axPos val="l"/>
        <c:numFmt formatCode="General" sourceLinked="1"/>
        <c:majorTickMark val="none"/>
        <c:minorTickMark val="none"/>
        <c:tickLblPos val="nextTo"/>
        <c:crossAx val="268396800"/>
        <c:crosses val="autoZero"/>
        <c:crossBetween val="between"/>
      </c:valAx>
    </c:plotArea>
    <c:legend>
      <c:legendPos val="r"/>
      <c:overlay val="0"/>
      <c:txPr>
        <a:bodyPr/>
        <a:lstStyle/>
        <a:p>
          <a:pPr>
            <a:defRPr sz="800" baseline="0"/>
          </a:pPr>
          <a:endParaRPr lang="ru-RU"/>
        </a:p>
      </c:txPr>
    </c:legend>
    <c:plotVisOnly val="1"/>
    <c:dispBlanksAs val="gap"/>
    <c:showDLblsOverMax val="0"/>
  </c:chart>
  <c:spPr>
    <a:ln>
      <a:solidFill>
        <a:schemeClr val="tx2">
          <a:lumMod val="75000"/>
        </a:schemeClr>
      </a:solidFill>
    </a:ln>
  </c:spPr>
  <c:txPr>
    <a:bodyPr/>
    <a:lstStyle/>
    <a:p>
      <a:pPr>
        <a:defRPr baseline="0">
          <a:solidFill>
            <a:sysClr val="windowText" lastClr="000000"/>
          </a:solidFill>
          <a:latin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79799473884671"/>
          <c:y val="4.9119295729297803E-2"/>
          <c:w val="0.79742433770581822"/>
          <c:h val="0.88537511324344065"/>
        </c:manualLayout>
      </c:layout>
      <c:barChart>
        <c:barDir val="col"/>
        <c:grouping val="clustered"/>
        <c:varyColors val="0"/>
        <c:ser>
          <c:idx val="0"/>
          <c:order val="0"/>
          <c:spPr>
            <a:solidFill>
              <a:srgbClr val="376092"/>
            </a:solidFill>
          </c:spPr>
          <c:invertIfNegative val="0"/>
          <c:dLbls>
            <c:dLbl>
              <c:idx val="3"/>
              <c:layout>
                <c:manualLayout>
                  <c:x val="0"/>
                  <c:y val="2.0676011138346283E-2"/>
                </c:manualLayout>
              </c:layout>
              <c:dLblPos val="outEnd"/>
              <c:showLegendKey val="0"/>
              <c:showVal val="1"/>
              <c:showCatName val="0"/>
              <c:showSerName val="0"/>
              <c:showPercent val="0"/>
              <c:showBubbleSize val="0"/>
            </c:dLbl>
            <c:txPr>
              <a:bodyPr/>
              <a:lstStyle/>
              <a:p>
                <a:pPr>
                  <a:defRPr sz="100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Миграция!$A$65:$A$68</c:f>
              <c:strCache>
                <c:ptCount val="4"/>
                <c:pt idx="0">
                  <c:v>Миграция-всего</c:v>
                </c:pt>
                <c:pt idx="1">
                  <c:v>внутрирегиональная</c:v>
                </c:pt>
                <c:pt idx="2">
                  <c:v>межрегиональная</c:v>
                </c:pt>
                <c:pt idx="3">
                  <c:v>международная</c:v>
                </c:pt>
              </c:strCache>
            </c:strRef>
          </c:cat>
          <c:val>
            <c:numRef>
              <c:f>Миграция!$B$65:$B$68</c:f>
              <c:numCache>
                <c:formatCode>General</c:formatCode>
                <c:ptCount val="4"/>
                <c:pt idx="0">
                  <c:v>-68</c:v>
                </c:pt>
                <c:pt idx="1">
                  <c:v>-35</c:v>
                </c:pt>
                <c:pt idx="2">
                  <c:v>-48</c:v>
                </c:pt>
                <c:pt idx="3">
                  <c:v>15</c:v>
                </c:pt>
              </c:numCache>
            </c:numRef>
          </c:val>
        </c:ser>
        <c:dLbls>
          <c:showLegendKey val="0"/>
          <c:showVal val="0"/>
          <c:showCatName val="0"/>
          <c:showSerName val="0"/>
          <c:showPercent val="0"/>
          <c:showBubbleSize val="0"/>
        </c:dLbls>
        <c:gapWidth val="150"/>
        <c:overlap val="-25"/>
        <c:axId val="273289216"/>
        <c:axId val="273290752"/>
      </c:barChart>
      <c:catAx>
        <c:axId val="273289216"/>
        <c:scaling>
          <c:orientation val="minMax"/>
        </c:scaling>
        <c:delete val="0"/>
        <c:axPos val="b"/>
        <c:numFmt formatCode="General" sourceLinked="1"/>
        <c:majorTickMark val="none"/>
        <c:minorTickMark val="none"/>
        <c:tickLblPos val="nextTo"/>
        <c:txPr>
          <a:bodyPr rot="-2700000" vert="horz"/>
          <a:lstStyle/>
          <a:p>
            <a:pPr>
              <a:defRPr sz="801" b="0" i="0" u="none" strike="noStrike" baseline="0">
                <a:solidFill>
                  <a:srgbClr val="000000"/>
                </a:solidFill>
                <a:latin typeface="Times New Roman"/>
                <a:ea typeface="Times New Roman"/>
                <a:cs typeface="Times New Roman"/>
              </a:defRPr>
            </a:pPr>
            <a:endParaRPr lang="ru-RU"/>
          </a:p>
        </c:txPr>
        <c:crossAx val="273290752"/>
        <c:crosses val="autoZero"/>
        <c:auto val="1"/>
        <c:lblAlgn val="ctr"/>
        <c:lblOffset val="100"/>
        <c:noMultiLvlLbl val="0"/>
      </c:catAx>
      <c:valAx>
        <c:axId val="273290752"/>
        <c:scaling>
          <c:orientation val="minMax"/>
        </c:scaling>
        <c:delete val="1"/>
        <c:axPos val="l"/>
        <c:numFmt formatCode="General" sourceLinked="1"/>
        <c:majorTickMark val="out"/>
        <c:minorTickMark val="none"/>
        <c:tickLblPos val="none"/>
        <c:crossAx val="273289216"/>
        <c:crosses val="autoZero"/>
        <c:crossBetween val="between"/>
      </c:valAx>
      <c:spPr>
        <a:solidFill>
          <a:schemeClr val="accent1">
            <a:lumMod val="40000"/>
            <a:lumOff val="60000"/>
          </a:schemeClr>
        </a:solidFill>
      </c:spPr>
    </c:plotArea>
    <c:plotVisOnly val="1"/>
    <c:dispBlanksAs val="gap"/>
    <c:showDLblsOverMax val="0"/>
  </c:chart>
  <c:spPr>
    <a:noFill/>
  </c:spPr>
  <c:txPr>
    <a:bodyPr/>
    <a:lstStyle/>
    <a:p>
      <a:pPr>
        <a:defRPr sz="1001"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58163925135319"/>
          <c:y val="1.9502170240516547E-2"/>
          <c:w val="0.86241028916611551"/>
          <c:h val="0.89369906736120264"/>
        </c:manualLayout>
      </c:layout>
      <c:barChart>
        <c:barDir val="col"/>
        <c:grouping val="clustered"/>
        <c:varyColors val="0"/>
        <c:ser>
          <c:idx val="0"/>
          <c:order val="0"/>
          <c:spPr>
            <a:solidFill>
              <a:srgbClr val="376092"/>
            </a:solidFill>
          </c:spPr>
          <c:invertIfNegative val="0"/>
          <c:dLbls>
            <c:dLbl>
              <c:idx val="1"/>
              <c:layout>
                <c:manualLayout>
                  <c:x val="0"/>
                  <c:y val="1.664922608726145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Миграция!$A$43:$A$46</c:f>
              <c:strCache>
                <c:ptCount val="4"/>
                <c:pt idx="0">
                  <c:v>Миграция-всего</c:v>
                </c:pt>
                <c:pt idx="1">
                  <c:v>внутрирегиональная</c:v>
                </c:pt>
                <c:pt idx="2">
                  <c:v>межрегиональная</c:v>
                </c:pt>
                <c:pt idx="3">
                  <c:v>международная</c:v>
                </c:pt>
              </c:strCache>
            </c:strRef>
          </c:cat>
          <c:val>
            <c:numRef>
              <c:f>Миграция!$B$43:$B$46</c:f>
              <c:numCache>
                <c:formatCode>General</c:formatCode>
                <c:ptCount val="4"/>
                <c:pt idx="0">
                  <c:v>-5</c:v>
                </c:pt>
                <c:pt idx="1">
                  <c:v>-26</c:v>
                </c:pt>
                <c:pt idx="2">
                  <c:v>38</c:v>
                </c:pt>
                <c:pt idx="3">
                  <c:v>-17</c:v>
                </c:pt>
              </c:numCache>
            </c:numRef>
          </c:val>
        </c:ser>
        <c:dLbls>
          <c:showLegendKey val="0"/>
          <c:showVal val="1"/>
          <c:showCatName val="0"/>
          <c:showSerName val="0"/>
          <c:showPercent val="0"/>
          <c:showBubbleSize val="0"/>
        </c:dLbls>
        <c:gapWidth val="150"/>
        <c:overlap val="-25"/>
        <c:axId val="274436096"/>
        <c:axId val="274438784"/>
      </c:barChart>
      <c:catAx>
        <c:axId val="274436096"/>
        <c:scaling>
          <c:orientation val="minMax"/>
        </c:scaling>
        <c:delete val="0"/>
        <c:axPos val="b"/>
        <c:majorTickMark val="none"/>
        <c:minorTickMark val="none"/>
        <c:tickLblPos val="nextTo"/>
        <c:txPr>
          <a:bodyPr/>
          <a:lstStyle/>
          <a:p>
            <a:pPr>
              <a:defRPr sz="800" baseline="0"/>
            </a:pPr>
            <a:endParaRPr lang="ru-RU"/>
          </a:p>
        </c:txPr>
        <c:crossAx val="274438784"/>
        <c:crosses val="autoZero"/>
        <c:auto val="1"/>
        <c:lblAlgn val="ctr"/>
        <c:lblOffset val="100"/>
        <c:noMultiLvlLbl val="0"/>
      </c:catAx>
      <c:valAx>
        <c:axId val="274438784"/>
        <c:scaling>
          <c:orientation val="minMax"/>
        </c:scaling>
        <c:delete val="1"/>
        <c:axPos val="l"/>
        <c:numFmt formatCode="General" sourceLinked="1"/>
        <c:majorTickMark val="none"/>
        <c:minorTickMark val="none"/>
        <c:tickLblPos val="none"/>
        <c:crossAx val="274436096"/>
        <c:crosses val="autoZero"/>
        <c:crossBetween val="between"/>
      </c:valAx>
      <c:spPr>
        <a:solidFill>
          <a:schemeClr val="tx2">
            <a:lumMod val="20000"/>
            <a:lumOff val="80000"/>
          </a:schemeClr>
        </a:solidFill>
      </c:spPr>
    </c:plotArea>
    <c:plotVisOnly val="1"/>
    <c:dispBlanksAs val="gap"/>
    <c:showDLblsOverMax val="0"/>
  </c:chart>
  <c:spPr>
    <a:noFill/>
  </c:spPr>
  <c:txPr>
    <a:bodyPr/>
    <a:lstStyle/>
    <a:p>
      <a:pPr>
        <a:defRPr baseline="0">
          <a:latin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6.9666331639332016E-2"/>
          <c:y val="0.63638835743305711"/>
          <c:w val="0.84871330345563811"/>
          <c:h val="0.36232973298473325"/>
        </c:manualLayout>
      </c:layout>
      <c:pie3DChart>
        <c:varyColors val="1"/>
        <c:ser>
          <c:idx val="0"/>
          <c:order val="0"/>
          <c:spPr>
            <a:gradFill>
              <a:gsLst>
                <a:gs pos="0">
                  <a:schemeClr val="tx2">
                    <a:lumMod val="75000"/>
                  </a:schemeClr>
                </a:gs>
                <a:gs pos="53000">
                  <a:srgbClr val="D4DEFF"/>
                </a:gs>
                <a:gs pos="83000">
                  <a:srgbClr val="D4DEFF"/>
                </a:gs>
                <a:gs pos="100000">
                  <a:srgbClr val="96AB94"/>
                </a:gs>
              </a:gsLst>
              <a:lin ang="5400000" scaled="0"/>
            </a:gradFill>
          </c:spPr>
          <c:explosion val="25"/>
          <c:dPt>
            <c:idx val="0"/>
            <c:bubble3D val="0"/>
            <c:spPr>
              <a:solidFill>
                <a:srgbClr val="C50000"/>
              </a:solidFill>
            </c:spPr>
          </c:dPt>
          <c:dPt>
            <c:idx val="1"/>
            <c:bubble3D val="0"/>
            <c:spPr>
              <a:solidFill>
                <a:srgbClr val="376092"/>
              </a:solidFill>
            </c:spPr>
          </c:dPt>
          <c:dPt>
            <c:idx val="2"/>
            <c:bubble3D val="0"/>
            <c:spPr>
              <a:solidFill>
                <a:srgbClr val="7F7F7F"/>
              </a:solidFill>
            </c:spPr>
          </c:dPt>
          <c:dPt>
            <c:idx val="3"/>
            <c:bubble3D val="0"/>
            <c:spPr>
              <a:solidFill>
                <a:srgbClr val="C50000"/>
              </a:solidFill>
            </c:spPr>
          </c:dPt>
          <c:dPt>
            <c:idx val="4"/>
            <c:bubble3D val="0"/>
            <c:spPr>
              <a:solidFill>
                <a:srgbClr val="376092"/>
              </a:solidFill>
            </c:spPr>
          </c:dPt>
          <c:dPt>
            <c:idx val="5"/>
            <c:bubble3D val="0"/>
            <c:spPr>
              <a:solidFill>
                <a:srgbClr val="7F7F7F"/>
              </a:solidFill>
            </c:spPr>
          </c:dPt>
          <c:dPt>
            <c:idx val="6"/>
            <c:bubble3D val="0"/>
            <c:spPr>
              <a:solidFill>
                <a:srgbClr val="C50000"/>
              </a:solidFill>
            </c:spPr>
          </c:dPt>
          <c:dPt>
            <c:idx val="7"/>
            <c:bubble3D val="0"/>
            <c:spPr>
              <a:solidFill>
                <a:srgbClr val="376092"/>
              </a:solidFill>
            </c:spPr>
          </c:dPt>
          <c:dPt>
            <c:idx val="8"/>
            <c:bubble3D val="0"/>
            <c:spPr>
              <a:solidFill>
                <a:srgbClr val="7F7F7F"/>
              </a:solidFill>
            </c:spPr>
          </c:dPt>
          <c:dPt>
            <c:idx val="9"/>
            <c:bubble3D val="0"/>
            <c:spPr>
              <a:solidFill>
                <a:srgbClr val="C50000"/>
              </a:solidFill>
            </c:spPr>
          </c:dPt>
          <c:dPt>
            <c:idx val="10"/>
            <c:bubble3D val="0"/>
            <c:spPr>
              <a:solidFill>
                <a:srgbClr val="376092"/>
              </a:solidFill>
            </c:spPr>
          </c:dPt>
          <c:dLbls>
            <c:showLegendKey val="0"/>
            <c:showVal val="0"/>
            <c:showCatName val="0"/>
            <c:showSerName val="0"/>
            <c:showPercent val="1"/>
            <c:showBubbleSize val="0"/>
            <c:showLeaderLines val="1"/>
          </c:dLbls>
          <c:cat>
            <c:strRef>
              <c:f>Организации!$A$1:$A$11</c:f>
              <c:strCache>
                <c:ptCount val="11"/>
                <c:pt idx="0">
                  <c:v>24% государственное управление и обеспечение военной безопасности; социальное страхование</c:v>
                </c:pt>
                <c:pt idx="1">
                  <c:v>24% предоставление коммунальных, социальных  и персональных услуг</c:v>
                </c:pt>
                <c:pt idx="2">
                  <c:v>12% операции с недвижимым имуществом, аренда и предоставление услуг</c:v>
                </c:pt>
                <c:pt idx="3">
                  <c:v>11% оптовая и розничная торговля; ремонт автотранспортных ср-в, мотоциклов, бытовых изделий и предметов личного пользования</c:v>
                </c:pt>
                <c:pt idx="4">
                  <c:v>9% сельское хозяйство, охота и лесное хозяйство</c:v>
                </c:pt>
                <c:pt idx="5">
                  <c:v>5% образование</c:v>
                </c:pt>
                <c:pt idx="6">
                  <c:v>5% транспорт, связь, строительство</c:v>
                </c:pt>
                <c:pt idx="7">
                  <c:v>4% производство и распределение электроэнергии, газа и воды</c:v>
                </c:pt>
                <c:pt idx="8">
                  <c:v>4% здравоохранение и предоставление социальных услуг</c:v>
                </c:pt>
                <c:pt idx="9">
                  <c:v>1% обрабатывающие производства</c:v>
                </c:pt>
                <c:pt idx="10">
                  <c:v>1% гостиницы и рестораны</c:v>
                </c:pt>
              </c:strCache>
            </c:strRef>
          </c:cat>
          <c:val>
            <c:numRef>
              <c:f>Организации!$B$1:$B$11</c:f>
              <c:numCache>
                <c:formatCode>General</c:formatCode>
                <c:ptCount val="11"/>
                <c:pt idx="0">
                  <c:v>27</c:v>
                </c:pt>
                <c:pt idx="1">
                  <c:v>27</c:v>
                </c:pt>
                <c:pt idx="2">
                  <c:v>14</c:v>
                </c:pt>
                <c:pt idx="3">
                  <c:v>12</c:v>
                </c:pt>
                <c:pt idx="4">
                  <c:v>10</c:v>
                </c:pt>
                <c:pt idx="5">
                  <c:v>6</c:v>
                </c:pt>
                <c:pt idx="6">
                  <c:v>5</c:v>
                </c:pt>
                <c:pt idx="7">
                  <c:v>4</c:v>
                </c:pt>
                <c:pt idx="8">
                  <c:v>3</c:v>
                </c:pt>
                <c:pt idx="9">
                  <c:v>2</c:v>
                </c:pt>
                <c:pt idx="10">
                  <c:v>1</c:v>
                </c:pt>
              </c:numCache>
            </c:numRef>
          </c:val>
        </c:ser>
        <c:dLbls>
          <c:showLegendKey val="0"/>
          <c:showVal val="0"/>
          <c:showCatName val="0"/>
          <c:showSerName val="0"/>
          <c:showPercent val="0"/>
          <c:showBubbleSize val="0"/>
          <c:showLeaderLines val="1"/>
        </c:dLbls>
      </c:pie3DChart>
      <c:spPr>
        <a:noFill/>
        <a:ln w="25398">
          <a:noFill/>
        </a:ln>
      </c:spPr>
    </c:plotArea>
    <c:legend>
      <c:legendPos val="t"/>
      <c:layout>
        <c:manualLayout>
          <c:xMode val="edge"/>
          <c:yMode val="edge"/>
          <c:x val="1.2900556473210721E-2"/>
          <c:y val="0.12396078031835669"/>
          <c:w val="0.9714685867932481"/>
          <c:h val="0.53467196452569243"/>
        </c:manualLayout>
      </c:layout>
      <c:overlay val="0"/>
    </c:legend>
    <c:plotVisOnly val="1"/>
    <c:dispBlanksAs val="zero"/>
    <c:showDLblsOverMax val="0"/>
  </c:chart>
  <c:txPr>
    <a:bodyPr/>
    <a:lstStyle/>
    <a:p>
      <a:pPr>
        <a:defRPr sz="800" baseline="0"/>
      </a:pPr>
      <a:endParaRPr lang="ru-RU"/>
    </a:p>
  </c:txPr>
  <c:externalData r:id="rId2">
    <c:autoUpdate val="0"/>
  </c:externalData>
</c:chartSpace>
</file>

<file path=word/drawings/_rels/drawing7.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0.49623</cdr:x>
      <cdr:y>0.15686</cdr:y>
    </cdr:from>
    <cdr:to>
      <cdr:x>0.50066</cdr:x>
      <cdr:y>0.85911</cdr:y>
    </cdr:to>
    <cdr:cxnSp macro="">
      <cdr:nvCxnSpPr>
        <cdr:cNvPr id="3" name="Прямая соединительная линия 2"/>
        <cdr:cNvCxnSpPr/>
      </cdr:nvCxnSpPr>
      <cdr:spPr>
        <a:xfrm xmlns:a="http://schemas.openxmlformats.org/drawingml/2006/main">
          <a:off x="1302025" y="486465"/>
          <a:ext cx="11606" cy="2177939"/>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0.68315</cdr:x>
      <cdr:y>0.954</cdr:y>
    </cdr:from>
    <cdr:to>
      <cdr:x>0.91131</cdr:x>
      <cdr:y>1</cdr:y>
    </cdr:to>
    <cdr:sp macro="" textlink="">
      <cdr:nvSpPr>
        <cdr:cNvPr id="8" name="TextBox 1"/>
        <cdr:cNvSpPr txBox="1"/>
      </cdr:nvSpPr>
      <cdr:spPr>
        <a:xfrm xmlns:a="http://schemas.openxmlformats.org/drawingml/2006/main">
          <a:off x="3194937" y="3975500"/>
          <a:ext cx="1067035" cy="1916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i="1">
              <a:latin typeface="Times New Roman" pitchFamily="18" charset="0"/>
              <a:cs typeface="Times New Roman" pitchFamily="18" charset="0"/>
            </a:rPr>
            <a:t>Среднее: 34,7%</a:t>
          </a:r>
        </a:p>
      </cdr:txBody>
    </cdr:sp>
  </cdr:relSizeAnchor>
  <cdr:relSizeAnchor xmlns:cdr="http://schemas.openxmlformats.org/drawingml/2006/chartDrawing">
    <cdr:from>
      <cdr:x>0.78917</cdr:x>
      <cdr:y>0.93363</cdr:y>
    </cdr:from>
    <cdr:to>
      <cdr:x>0.81552</cdr:x>
      <cdr:y>0.95882</cdr:y>
    </cdr:to>
    <cdr:sp macro="" textlink="">
      <cdr:nvSpPr>
        <cdr:cNvPr id="9" name="Равнобедренный треугольник 8"/>
        <cdr:cNvSpPr/>
      </cdr:nvSpPr>
      <cdr:spPr>
        <a:xfrm xmlns:a="http://schemas.openxmlformats.org/drawingml/2006/main">
          <a:off x="3690765" y="3890612"/>
          <a:ext cx="123261" cy="104977"/>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endParaRPr lang="ru-RU" sz="1200" b="1">
            <a:latin typeface="Times New Roman" pitchFamily="18" charset="0"/>
            <a:cs typeface="Times New Roman"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0.10735</cdr:x>
      <cdr:y>0.05468</cdr:y>
    </cdr:from>
    <cdr:to>
      <cdr:x>0.11023</cdr:x>
      <cdr:y>0.81397</cdr:y>
    </cdr:to>
    <cdr:cxnSp macro="">
      <cdr:nvCxnSpPr>
        <cdr:cNvPr id="3" name="Прямая соединительная линия 2"/>
        <cdr:cNvCxnSpPr/>
      </cdr:nvCxnSpPr>
      <cdr:spPr>
        <a:xfrm xmlns:a="http://schemas.openxmlformats.org/drawingml/2006/main">
          <a:off x="556230" y="178134"/>
          <a:ext cx="14923" cy="2473425"/>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0.07978</cdr:x>
      <cdr:y>0.82318</cdr:y>
    </cdr:from>
    <cdr:to>
      <cdr:x>0.90813</cdr:x>
      <cdr:y>0.82657</cdr:y>
    </cdr:to>
    <cdr:cxnSp macro="">
      <cdr:nvCxnSpPr>
        <cdr:cNvPr id="6" name="Прямая соединительная линия 5"/>
        <cdr:cNvCxnSpPr/>
      </cdr:nvCxnSpPr>
      <cdr:spPr>
        <a:xfrm xmlns:a="http://schemas.openxmlformats.org/drawingml/2006/main" flipV="1">
          <a:off x="413402" y="2681555"/>
          <a:ext cx="4292162" cy="11029"/>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0.63555</cdr:x>
      <cdr:y>0.88672</cdr:y>
    </cdr:from>
    <cdr:to>
      <cdr:x>0.66599</cdr:x>
      <cdr:y>0.92167</cdr:y>
    </cdr:to>
    <cdr:sp macro="" textlink="">
      <cdr:nvSpPr>
        <cdr:cNvPr id="3" name="Равнобедренный треугольник 2"/>
        <cdr:cNvSpPr/>
      </cdr:nvSpPr>
      <cdr:spPr>
        <a:xfrm xmlns:a="http://schemas.openxmlformats.org/drawingml/2006/main">
          <a:off x="3503613" y="4626201"/>
          <a:ext cx="158730" cy="169172"/>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0.58806</cdr:x>
      <cdr:y>0.9203</cdr:y>
    </cdr:from>
    <cdr:to>
      <cdr:x>0.81521</cdr:x>
      <cdr:y>0.98067</cdr:y>
    </cdr:to>
    <cdr:sp macro="" textlink="">
      <cdr:nvSpPr>
        <cdr:cNvPr id="4" name="TextBox 1"/>
        <cdr:cNvSpPr txBox="1"/>
      </cdr:nvSpPr>
      <cdr:spPr>
        <a:xfrm xmlns:a="http://schemas.openxmlformats.org/drawingml/2006/main">
          <a:off x="3256983" y="4788278"/>
          <a:ext cx="1177576" cy="2916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i="1">
              <a:latin typeface="Times New Roman" pitchFamily="18" charset="0"/>
              <a:cs typeface="Times New Roman" pitchFamily="18" charset="0"/>
            </a:rPr>
            <a:t>Среднее: 22,7 </a:t>
          </a:r>
        </a:p>
      </cdr:txBody>
    </cdr:sp>
  </cdr:relSizeAnchor>
  <cdr:relSizeAnchor xmlns:cdr="http://schemas.openxmlformats.org/drawingml/2006/chartDrawing">
    <cdr:from>
      <cdr:x>0</cdr:x>
      <cdr:y>0</cdr:y>
    </cdr:from>
    <cdr:to>
      <cdr:x>1</cdr:x>
      <cdr:y>0.14056</cdr:y>
    </cdr:to>
    <cdr:sp macro="" textlink="">
      <cdr:nvSpPr>
        <cdr:cNvPr id="5" name="Прямоугольник 4"/>
        <cdr:cNvSpPr>
          <a:spLocks xmlns:a="http://schemas.openxmlformats.org/drawingml/2006/main" noChangeArrowheads="1"/>
        </cdr:cNvSpPr>
      </cdr:nvSpPr>
      <cdr:spPr bwMode="auto">
        <a:xfrm xmlns:a="http://schemas.openxmlformats.org/drawingml/2006/main">
          <a:off x="0" y="0"/>
          <a:ext cx="4847981" cy="592260"/>
        </a:xfrm>
        <a:prstGeom xmlns:a="http://schemas.openxmlformats.org/drawingml/2006/main" prst="rect">
          <a:avLst/>
        </a:prstGeom>
        <a:solidFill xmlns:a="http://schemas.openxmlformats.org/drawingml/2006/main">
          <a:srgbClr val="365F91"/>
        </a:solidFill>
        <a:ln xmlns:a="http://schemas.openxmlformats.org/drawingml/2006/main" w="9525">
          <a:solidFill>
            <a:srgbClr val="365F91"/>
          </a:solidFill>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lnSpc>
              <a:spcPct val="115000"/>
            </a:lnSpc>
            <a:spcAft>
              <a:spcPts val="1000"/>
            </a:spcAft>
          </a:pPr>
          <a:r>
            <a:rPr lang="ru-RU" sz="1000" b="1">
              <a:solidFill>
                <a:srgbClr val="FFFFFF"/>
              </a:solidFill>
              <a:effectLst/>
              <a:latin typeface="Times New Roman"/>
              <a:ea typeface="Calibri"/>
              <a:cs typeface="Times New Roman"/>
            </a:rPr>
            <a:t>Камышлинский район занимает 12 место по  зарегистрированным правонарушениям среди  районов Самарской области на 100 тыс. населения в 2016 году</a:t>
          </a:r>
          <a:endParaRPr lang="ru-RU" sz="1000">
            <a:effectLst/>
            <a:latin typeface="Calibri"/>
            <a:ea typeface="Calibri"/>
            <a:cs typeface="Times New Roman"/>
          </a:endParaRPr>
        </a:p>
        <a:p xmlns:a="http://schemas.openxmlformats.org/drawingml/2006/main">
          <a:pPr algn="ctr">
            <a:lnSpc>
              <a:spcPct val="115000"/>
            </a:lnSpc>
            <a:spcAft>
              <a:spcPts val="0"/>
            </a:spcAft>
          </a:pPr>
          <a:r>
            <a:rPr lang="ru-RU" sz="1100" b="1">
              <a:solidFill>
                <a:srgbClr val="FFFFFF"/>
              </a:solidFill>
              <a:effectLst/>
              <a:latin typeface="Times New Roman"/>
              <a:ea typeface="Calibri"/>
              <a:cs typeface="Times New Roman"/>
            </a:rPr>
            <a:t> </a:t>
          </a:r>
          <a:endParaRPr lang="ru-RU" sz="1100">
            <a:effectLst/>
            <a:latin typeface="Calibri"/>
            <a:ea typeface="Calibri"/>
            <a:cs typeface="Times New Roman"/>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cdr:y>
    </cdr:from>
    <cdr:to>
      <cdr:x>1</cdr:x>
      <cdr:y>0.23251</cdr:y>
    </cdr:to>
    <cdr:sp macro="" textlink="">
      <cdr:nvSpPr>
        <cdr:cNvPr id="3" name="Прямоугольник 2"/>
        <cdr:cNvSpPr>
          <a:spLocks xmlns:a="http://schemas.openxmlformats.org/drawingml/2006/main" noChangeArrowheads="1"/>
        </cdr:cNvSpPr>
      </cdr:nvSpPr>
      <cdr:spPr bwMode="auto">
        <a:xfrm xmlns:a="http://schemas.openxmlformats.org/drawingml/2006/main">
          <a:off x="0" y="0"/>
          <a:ext cx="4572000" cy="637835"/>
        </a:xfrm>
        <a:prstGeom xmlns:a="http://schemas.openxmlformats.org/drawingml/2006/main" prst="rect">
          <a:avLst/>
        </a:prstGeom>
        <a:solidFill xmlns:a="http://schemas.openxmlformats.org/drawingml/2006/main">
          <a:srgbClr val="365F91"/>
        </a:solidFill>
        <a:ln xmlns:a="http://schemas.openxmlformats.org/drawingml/2006/main" w="9525">
          <a:solidFill>
            <a:srgbClr val="365F91"/>
          </a:solidFill>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lnSpc>
              <a:spcPct val="115000"/>
            </a:lnSpc>
            <a:spcAft>
              <a:spcPts val="0"/>
            </a:spcAft>
          </a:pPr>
          <a:r>
            <a:rPr lang="ru-RU" sz="1000" b="1">
              <a:solidFill>
                <a:srgbClr val="FFFFFF"/>
              </a:solidFill>
              <a:effectLst/>
              <a:latin typeface="Times New Roman"/>
              <a:ea typeface="Calibri"/>
              <a:cs typeface="Times New Roman"/>
            </a:rPr>
            <a:t>Число зарегистрированных преступлений Камышлинского муниципального района Самарской области на 100 тыс. населения с 2006 по 2016 годы</a:t>
          </a:r>
          <a:endParaRPr lang="ru-RU" sz="1000">
            <a:effectLst/>
            <a:latin typeface="Calibri"/>
            <a:ea typeface="Calibri"/>
            <a:cs typeface="Times New Roman"/>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0.00365</cdr:x>
      <cdr:y>0.00629</cdr:y>
    </cdr:from>
    <cdr:to>
      <cdr:x>1</cdr:x>
      <cdr:y>0.19811</cdr:y>
    </cdr:to>
    <cdr:sp macro="" textlink="">
      <cdr:nvSpPr>
        <cdr:cNvPr id="2" name="Прямоугольник 1"/>
        <cdr:cNvSpPr/>
      </cdr:nvSpPr>
      <cdr:spPr>
        <a:xfrm xmlns:a="http://schemas.openxmlformats.org/drawingml/2006/main">
          <a:off x="19050" y="19051"/>
          <a:ext cx="5200650" cy="581024"/>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a:r>
            <a:rPr lang="ru-RU" sz="1200" b="1" i="0" baseline="0">
              <a:solidFill>
                <a:schemeClr val="lt1"/>
              </a:solidFill>
              <a:latin typeface="Times New Roman" pitchFamily="18" charset="0"/>
              <a:ea typeface="+mn-ea"/>
              <a:cs typeface="Times New Roman" pitchFamily="18" charset="0"/>
            </a:rPr>
            <a:t>Сальдированный финансовый результат по всем видам деятельности организаций Камышлинского района в 2012 - 2016 гг., млн. рублей </a:t>
          </a: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0.00238</cdr:y>
    </cdr:from>
    <cdr:to>
      <cdr:x>1</cdr:x>
      <cdr:y>0.12143</cdr:y>
    </cdr:to>
    <cdr:sp macro="" textlink="">
      <cdr:nvSpPr>
        <cdr:cNvPr id="2" name="Прямоугольник 1"/>
        <cdr:cNvSpPr/>
      </cdr:nvSpPr>
      <cdr:spPr>
        <a:xfrm xmlns:a="http://schemas.openxmlformats.org/drawingml/2006/main">
          <a:off x="0" y="9525"/>
          <a:ext cx="5838824" cy="47625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b="1" baseline="0">
              <a:solidFill>
                <a:schemeClr val="lt1"/>
              </a:solidFill>
              <a:latin typeface="Times New Roman" pitchFamily="18" charset="0"/>
              <a:ea typeface="+mn-ea"/>
              <a:cs typeface="Times New Roman" pitchFamily="18" charset="0"/>
            </a:rPr>
            <a:t>Тренд индекса промышленного производства в Камышлинском районе превосходит областную динамику за период с 2013 по 2016 гг</a:t>
          </a:r>
          <a:endParaRPr lang="ru-RU" sz="1000" b="1" baseline="0">
            <a:solidFill>
              <a:schemeClr val="bg1"/>
            </a:solidFill>
            <a:latin typeface="Times New Roman" pitchFamily="18" charset="0"/>
            <a:cs typeface="Times New Roman" pitchFamily="18"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0.00256</cdr:y>
    </cdr:from>
    <cdr:to>
      <cdr:x>0.99638</cdr:x>
      <cdr:y>0.17597</cdr:y>
    </cdr:to>
    <cdr:sp macro="" textlink="">
      <cdr:nvSpPr>
        <cdr:cNvPr id="2" name="Прямоугольник 1"/>
        <cdr:cNvSpPr/>
      </cdr:nvSpPr>
      <cdr:spPr>
        <a:xfrm xmlns:a="http://schemas.openxmlformats.org/drawingml/2006/main">
          <a:off x="0" y="7272"/>
          <a:ext cx="5623070" cy="492599"/>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indent="0" algn="ctr" rtl="0" fontAlgn="base"/>
          <a:r>
            <a:rPr lang="ru-RU" sz="1000" b="1" baseline="0">
              <a:solidFill>
                <a:schemeClr val="lt1"/>
              </a:solidFill>
              <a:latin typeface="Times New Roman" pitchFamily="18" charset="0"/>
              <a:ea typeface="+mn-ea"/>
              <a:cs typeface="Times New Roman" pitchFamily="18" charset="0"/>
            </a:rPr>
            <a:t>Камышлинский район демонстрирует стабильно низкие результаты по валовому сбору и урожайности зерновых и зернобобовых культур,  по производству мяса в 2013-2017 гг</a:t>
          </a:r>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cdr:y>
    </cdr:from>
    <cdr:to>
      <cdr:x>0.99792</cdr:x>
      <cdr:y>0.1905</cdr:y>
    </cdr:to>
    <cdr:sp macro="" textlink="">
      <cdr:nvSpPr>
        <cdr:cNvPr id="3" name="Прямоугольник 2"/>
        <cdr:cNvSpPr/>
      </cdr:nvSpPr>
      <cdr:spPr>
        <a:xfrm xmlns:a="http://schemas.openxmlformats.org/drawingml/2006/main">
          <a:off x="0" y="-94581"/>
          <a:ext cx="5245216" cy="496911"/>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fontAlgn="base"/>
          <a:r>
            <a:rPr lang="ru-RU" sz="1100" b="1">
              <a:solidFill>
                <a:schemeClr val="lt1"/>
              </a:solidFill>
              <a:latin typeface="Times New Roman" pitchFamily="18" charset="0"/>
              <a:ea typeface="+mn-ea"/>
              <a:cs typeface="Times New Roman" pitchFamily="18" charset="0"/>
            </a:rPr>
            <a:t>Динамика роста прибыли </a:t>
          </a:r>
          <a:r>
            <a:rPr lang="ru-RU" sz="1100" b="1" i="0" baseline="0">
              <a:solidFill>
                <a:schemeClr val="lt1"/>
              </a:solidFill>
              <a:latin typeface="Times New Roman" pitchFamily="18" charset="0"/>
              <a:ea typeface="+mn-ea"/>
              <a:cs typeface="Times New Roman" pitchFamily="18" charset="0"/>
            </a:rPr>
            <a:t>(тыс. руб.)</a:t>
          </a:r>
          <a:r>
            <a:rPr lang="ru-RU" sz="1100" b="1">
              <a:solidFill>
                <a:schemeClr val="lt1"/>
              </a:solidFill>
              <a:latin typeface="Times New Roman" pitchFamily="18" charset="0"/>
              <a:ea typeface="+mn-ea"/>
              <a:cs typeface="Times New Roman" pitchFamily="18" charset="0"/>
            </a:rPr>
            <a:t> </a:t>
          </a:r>
          <a:r>
            <a:rPr lang="ru-RU" sz="1100" b="1" i="0" baseline="0">
              <a:solidFill>
                <a:schemeClr val="lt1"/>
              </a:solidFill>
              <a:latin typeface="Times New Roman" pitchFamily="18" charset="0"/>
              <a:ea typeface="+mn-ea"/>
              <a:cs typeface="Times New Roman" pitchFamily="18" charset="0"/>
            </a:rPr>
            <a:t>сельскохозяйственных предприятий Камышлинского района в 2012-2016 гг. </a:t>
          </a:r>
          <a:r>
            <a:rPr lang="ru-RU" sz="1100" b="1">
              <a:solidFill>
                <a:schemeClr val="lt1"/>
              </a:solidFill>
              <a:latin typeface="Times New Roman" pitchFamily="18" charset="0"/>
              <a:ea typeface="+mn-ea"/>
              <a:cs typeface="Times New Roman" pitchFamily="18" charset="0"/>
            </a:rPr>
            <a:t>неустойчива</a:t>
          </a:r>
          <a:endParaRPr lang="ru-RU" sz="1200" b="1" i="0" baseline="0">
            <a:solidFill>
              <a:schemeClr val="lt1"/>
            </a:solidFill>
            <a:latin typeface="Times New Roman" pitchFamily="18" charset="0"/>
            <a:ea typeface="+mn-ea"/>
            <a:cs typeface="Times New Roman"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0.61595</cdr:x>
      <cdr:y>0.94558</cdr:y>
    </cdr:from>
    <cdr:to>
      <cdr:x>0.64467</cdr:x>
      <cdr:y>0.96547</cdr:y>
    </cdr:to>
    <cdr:sp macro="" textlink="">
      <cdr:nvSpPr>
        <cdr:cNvPr id="2" name="Равнобедренный треугольник 1"/>
        <cdr:cNvSpPr/>
      </cdr:nvSpPr>
      <cdr:spPr>
        <a:xfrm xmlns:a="http://schemas.openxmlformats.org/drawingml/2006/main">
          <a:off x="2622535" y="4260153"/>
          <a:ext cx="122280" cy="89611"/>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0.64504</cdr:x>
      <cdr:y>0.9343</cdr:y>
    </cdr:from>
    <cdr:to>
      <cdr:x>0.89361</cdr:x>
      <cdr:y>0.96838</cdr:y>
    </cdr:to>
    <cdr:sp macro="" textlink="">
      <cdr:nvSpPr>
        <cdr:cNvPr id="3" name="TextBox 1"/>
        <cdr:cNvSpPr txBox="1"/>
      </cdr:nvSpPr>
      <cdr:spPr>
        <a:xfrm xmlns:a="http://schemas.openxmlformats.org/drawingml/2006/main">
          <a:off x="2746383" y="4209325"/>
          <a:ext cx="1058330" cy="1535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i="1">
              <a:latin typeface="Times New Roman" pitchFamily="18" charset="0"/>
              <a:cs typeface="Times New Roman" pitchFamily="18" charset="0"/>
            </a:rPr>
            <a:t>Среднее: 51798,3</a:t>
          </a:r>
        </a:p>
      </cdr:txBody>
    </cdr:sp>
  </cdr:relSizeAnchor>
  <cdr:relSizeAnchor xmlns:cdr="http://schemas.openxmlformats.org/drawingml/2006/chartDrawing">
    <cdr:from>
      <cdr:x>0.00224</cdr:x>
      <cdr:y>0.00423</cdr:y>
    </cdr:from>
    <cdr:to>
      <cdr:x>0.99776</cdr:x>
      <cdr:y>0.13701</cdr:y>
    </cdr:to>
    <cdr:sp macro="" textlink="">
      <cdr:nvSpPr>
        <cdr:cNvPr id="4" name="Прямоугольник 3"/>
        <cdr:cNvSpPr/>
      </cdr:nvSpPr>
      <cdr:spPr>
        <a:xfrm xmlns:a="http://schemas.openxmlformats.org/drawingml/2006/main">
          <a:off x="6546" y="19762"/>
          <a:ext cx="2909432" cy="620318"/>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indent="0" algn="ctr" rtl="0"/>
          <a:r>
            <a:rPr lang="ru-RU" sz="1100" b="1" i="0" baseline="0">
              <a:solidFill>
                <a:schemeClr val="lt1"/>
              </a:solidFill>
              <a:latin typeface="Times New Roman" pitchFamily="18" charset="0"/>
              <a:ea typeface="+mn-ea"/>
              <a:cs typeface="Times New Roman" pitchFamily="18" charset="0"/>
            </a:rPr>
            <a:t>Камышлинский район занимает  11  место по обороту розничной торговли на душу</a:t>
          </a:r>
        </a:p>
      </cdr:txBody>
    </cdr:sp>
  </cdr:relSizeAnchor>
</c:userShapes>
</file>

<file path=word/drawings/drawing19.xml><?xml version="1.0" encoding="utf-8"?>
<c:userShapes xmlns:c="http://schemas.openxmlformats.org/drawingml/2006/chart">
  <cdr:relSizeAnchor xmlns:cdr="http://schemas.openxmlformats.org/drawingml/2006/chartDrawing">
    <cdr:from>
      <cdr:x>0</cdr:x>
      <cdr:y>0</cdr:y>
    </cdr:from>
    <cdr:to>
      <cdr:x>0.99772</cdr:x>
      <cdr:y>0.13609</cdr:y>
    </cdr:to>
    <cdr:sp macro="" textlink="">
      <cdr:nvSpPr>
        <cdr:cNvPr id="2" name="Прямоугольник 1"/>
        <cdr:cNvSpPr/>
      </cdr:nvSpPr>
      <cdr:spPr>
        <a:xfrm xmlns:a="http://schemas.openxmlformats.org/drawingml/2006/main">
          <a:off x="0" y="0"/>
          <a:ext cx="3005192" cy="634365"/>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fontAlgn="base"/>
          <a:r>
            <a:rPr lang="ru-RU" sz="1100" b="1" i="0" baseline="0">
              <a:solidFill>
                <a:schemeClr val="lt1"/>
              </a:solidFill>
              <a:latin typeface="Times New Roman" pitchFamily="18" charset="0"/>
              <a:ea typeface="+mn-ea"/>
              <a:cs typeface="Times New Roman" pitchFamily="18" charset="0"/>
            </a:rPr>
            <a:t>Камышлинский район занимает 1 место по обороту </a:t>
          </a:r>
          <a:r>
            <a:rPr lang="ru-RU" sz="1200" b="1" i="0" baseline="0">
              <a:solidFill>
                <a:schemeClr val="lt1"/>
              </a:solidFill>
              <a:latin typeface="Times New Roman" pitchFamily="18" charset="0"/>
              <a:ea typeface="+mn-ea"/>
              <a:cs typeface="Times New Roman" pitchFamily="18" charset="0"/>
            </a:rPr>
            <a:t>общественного</a:t>
          </a:r>
          <a:r>
            <a:rPr lang="ru-RU" sz="1100" b="1" i="0" baseline="0">
              <a:solidFill>
                <a:schemeClr val="lt1"/>
              </a:solidFill>
              <a:latin typeface="Times New Roman" pitchFamily="18" charset="0"/>
              <a:ea typeface="+mn-ea"/>
              <a:cs typeface="Times New Roman" pitchFamily="18" charset="0"/>
            </a:rPr>
            <a:t> питания на душу населения</a:t>
          </a:r>
        </a:p>
      </cdr:txBody>
    </cdr:sp>
  </cdr:relSizeAnchor>
</c:userShapes>
</file>

<file path=word/drawings/drawing2.xml><?xml version="1.0" encoding="utf-8"?>
<c:userShapes xmlns:c="http://schemas.openxmlformats.org/drawingml/2006/chart">
  <cdr:relSizeAnchor xmlns:cdr="http://schemas.openxmlformats.org/drawingml/2006/chartDrawing">
    <cdr:from>
      <cdr:x>0.40865</cdr:x>
      <cdr:y>0.05601</cdr:y>
    </cdr:from>
    <cdr:to>
      <cdr:x>0.40958</cdr:x>
      <cdr:y>0.91651</cdr:y>
    </cdr:to>
    <cdr:cxnSp macro="">
      <cdr:nvCxnSpPr>
        <cdr:cNvPr id="3" name="Прямая соединительная линия 2"/>
        <cdr:cNvCxnSpPr/>
      </cdr:nvCxnSpPr>
      <cdr:spPr>
        <a:xfrm xmlns:a="http://schemas.openxmlformats.org/drawingml/2006/main" flipV="1">
          <a:off x="2300637" y="201974"/>
          <a:ext cx="5235" cy="3103105"/>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0.09203</cdr:x>
      <cdr:y>0.43996</cdr:y>
    </cdr:from>
    <cdr:to>
      <cdr:x>0.90319</cdr:x>
      <cdr:y>0.44588</cdr:y>
    </cdr:to>
    <cdr:cxnSp macro="">
      <cdr:nvCxnSpPr>
        <cdr:cNvPr id="6" name="Прямая соединительная линия 5"/>
        <cdr:cNvCxnSpPr/>
      </cdr:nvCxnSpPr>
      <cdr:spPr>
        <a:xfrm xmlns:a="http://schemas.openxmlformats.org/drawingml/2006/main">
          <a:off x="500323" y="1412242"/>
          <a:ext cx="4409608" cy="18992"/>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0.xml><?xml version="1.0" encoding="utf-8"?>
<c:userShapes xmlns:c="http://schemas.openxmlformats.org/drawingml/2006/chart">
  <cdr:relSizeAnchor xmlns:cdr="http://schemas.openxmlformats.org/drawingml/2006/chartDrawing">
    <cdr:from>
      <cdr:x>0.47967</cdr:x>
      <cdr:y>0.97551</cdr:y>
    </cdr:from>
    <cdr:to>
      <cdr:x>0.50341</cdr:x>
      <cdr:y>0.99574</cdr:y>
    </cdr:to>
    <cdr:sp macro="" textlink="">
      <cdr:nvSpPr>
        <cdr:cNvPr id="3" name="Равнобедренный треугольник 2"/>
        <cdr:cNvSpPr/>
      </cdr:nvSpPr>
      <cdr:spPr>
        <a:xfrm xmlns:a="http://schemas.openxmlformats.org/drawingml/2006/main">
          <a:off x="2488002" y="4846158"/>
          <a:ext cx="123137" cy="100499"/>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0.73846</cdr:x>
      <cdr:y>0.98234</cdr:y>
    </cdr:from>
    <cdr:to>
      <cdr:x>0.81786</cdr:x>
      <cdr:y>0.99839</cdr:y>
    </cdr:to>
    <cdr:sp macro="" textlink="">
      <cdr:nvSpPr>
        <cdr:cNvPr id="4" name="TextBox 3"/>
        <cdr:cNvSpPr txBox="1"/>
      </cdr:nvSpPr>
      <cdr:spPr>
        <a:xfrm xmlns:a="http://schemas.openxmlformats.org/drawingml/2006/main">
          <a:off x="3829051" y="4938794"/>
          <a:ext cx="411674" cy="807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0.51076</cdr:x>
      <cdr:y>0.95579</cdr:y>
    </cdr:from>
    <cdr:to>
      <cdr:x>0.73994</cdr:x>
      <cdr:y>1</cdr:y>
    </cdr:to>
    <cdr:sp macro="" textlink="">
      <cdr:nvSpPr>
        <cdr:cNvPr id="5" name="TextBox 4"/>
        <cdr:cNvSpPr txBox="1"/>
      </cdr:nvSpPr>
      <cdr:spPr>
        <a:xfrm xmlns:a="http://schemas.openxmlformats.org/drawingml/2006/main">
          <a:off x="2649259" y="4758773"/>
          <a:ext cx="1188732" cy="2196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i="1">
              <a:latin typeface="Times New Roman" pitchFamily="18" charset="0"/>
              <a:cs typeface="Times New Roman" pitchFamily="18" charset="0"/>
            </a:rPr>
            <a:t>Среднее: 79,8</a:t>
          </a:r>
        </a:p>
      </cdr:txBody>
    </cdr:sp>
  </cdr:relSizeAnchor>
  <cdr:relSizeAnchor xmlns:cdr="http://schemas.openxmlformats.org/drawingml/2006/chartDrawing">
    <cdr:from>
      <cdr:x>0</cdr:x>
      <cdr:y>2.34541E-7</cdr:y>
    </cdr:from>
    <cdr:to>
      <cdr:x>1</cdr:x>
      <cdr:y>0.10294</cdr:y>
    </cdr:to>
    <cdr:sp macro="" textlink="">
      <cdr:nvSpPr>
        <cdr:cNvPr id="6" name="Прямоугольник 5"/>
        <cdr:cNvSpPr/>
      </cdr:nvSpPr>
      <cdr:spPr>
        <a:xfrm xmlns:a="http://schemas.openxmlformats.org/drawingml/2006/main">
          <a:off x="0" y="1"/>
          <a:ext cx="4978783" cy="438911"/>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a:r>
            <a:rPr lang="ru-RU" sz="1000" b="1" i="0" baseline="0">
              <a:solidFill>
                <a:schemeClr val="lt1"/>
              </a:solidFill>
              <a:latin typeface="Times New Roman" pitchFamily="18" charset="0"/>
              <a:ea typeface="+mn-ea"/>
              <a:cs typeface="Times New Roman" pitchFamily="18" charset="0"/>
            </a:rPr>
            <a:t>Камышлинский район занимает  12  место среди муниципальных районов Самарской области по инвестициям в основной капитал на душу населения</a:t>
          </a:r>
          <a:r>
            <a:rPr lang="ru-RU" sz="1000" b="1" i="0" baseline="30000">
              <a:solidFill>
                <a:schemeClr val="lt1"/>
              </a:solidFill>
              <a:latin typeface="Times New Roman" pitchFamily="18" charset="0"/>
              <a:ea typeface="+mn-ea"/>
              <a:cs typeface="Times New Roman" pitchFamily="18" charset="0"/>
            </a:rPr>
            <a:t>  </a:t>
          </a:r>
          <a:endParaRPr lang="ru-RU" sz="1000">
            <a:latin typeface="Times New Roman" pitchFamily="18" charset="0"/>
            <a:cs typeface="Times New Roman" pitchFamily="18"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cdr:x>
      <cdr:y>0.00298</cdr:y>
    </cdr:from>
    <cdr:to>
      <cdr:x>1</cdr:x>
      <cdr:y>0.12739</cdr:y>
    </cdr:to>
    <cdr:sp macro="" textlink="">
      <cdr:nvSpPr>
        <cdr:cNvPr id="2" name="Прямоугольник 1"/>
        <cdr:cNvSpPr/>
      </cdr:nvSpPr>
      <cdr:spPr>
        <a:xfrm xmlns:a="http://schemas.openxmlformats.org/drawingml/2006/main">
          <a:off x="0" y="11551"/>
          <a:ext cx="5695569" cy="482225"/>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fontAlgn="base"/>
          <a:r>
            <a:rPr lang="ru-RU" sz="1200" b="1" i="0" baseline="0">
              <a:solidFill>
                <a:schemeClr val="lt1"/>
              </a:solidFill>
              <a:latin typeface="Times New Roman" pitchFamily="18" charset="0"/>
              <a:ea typeface="+mn-ea"/>
              <a:cs typeface="Times New Roman" pitchFamily="18" charset="0"/>
            </a:rPr>
            <a:t>Камышлинский район характеризуется устойчивыми темпами роста инвестиционных вложений в экономику</a:t>
          </a:r>
        </a:p>
      </cdr:txBody>
    </cdr:sp>
  </cdr:relSizeAnchor>
</c:userShapes>
</file>

<file path=word/drawings/drawing22.xml><?xml version="1.0" encoding="utf-8"?>
<c:userShapes xmlns:c="http://schemas.openxmlformats.org/drawingml/2006/chart">
  <cdr:relSizeAnchor xmlns:cdr="http://schemas.openxmlformats.org/drawingml/2006/chartDrawing">
    <cdr:from>
      <cdr:x>0.57275</cdr:x>
      <cdr:y>0.961</cdr:y>
    </cdr:from>
    <cdr:to>
      <cdr:x>0.59649</cdr:x>
      <cdr:y>0.98123</cdr:y>
    </cdr:to>
    <cdr:sp macro="" textlink="">
      <cdr:nvSpPr>
        <cdr:cNvPr id="3" name="Равнобедренный треугольник 2"/>
        <cdr:cNvSpPr/>
      </cdr:nvSpPr>
      <cdr:spPr>
        <a:xfrm xmlns:a="http://schemas.openxmlformats.org/drawingml/2006/main">
          <a:off x="2625305" y="3608701"/>
          <a:ext cx="108816" cy="75966"/>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0.73846</cdr:x>
      <cdr:y>0.98234</cdr:y>
    </cdr:from>
    <cdr:to>
      <cdr:x>0.81786</cdr:x>
      <cdr:y>0.99839</cdr:y>
    </cdr:to>
    <cdr:sp macro="" textlink="">
      <cdr:nvSpPr>
        <cdr:cNvPr id="4" name="TextBox 3"/>
        <cdr:cNvSpPr txBox="1"/>
      </cdr:nvSpPr>
      <cdr:spPr>
        <a:xfrm xmlns:a="http://schemas.openxmlformats.org/drawingml/2006/main">
          <a:off x="3829051" y="4938794"/>
          <a:ext cx="411674" cy="807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0.5982</cdr:x>
      <cdr:y>0.90324</cdr:y>
    </cdr:from>
    <cdr:to>
      <cdr:x>0.97878</cdr:x>
      <cdr:y>0.97976</cdr:y>
    </cdr:to>
    <cdr:sp macro="" textlink="">
      <cdr:nvSpPr>
        <cdr:cNvPr id="5" name="TextBox 4"/>
        <cdr:cNvSpPr txBox="1"/>
      </cdr:nvSpPr>
      <cdr:spPr>
        <a:xfrm xmlns:a="http://schemas.openxmlformats.org/drawingml/2006/main">
          <a:off x="2743079" y="3248626"/>
          <a:ext cx="1745187" cy="2752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i="1">
              <a:latin typeface="Times New Roman" pitchFamily="18" charset="0"/>
              <a:cs typeface="Times New Roman" pitchFamily="18" charset="0"/>
            </a:rPr>
            <a:t>Среднее: 18637,1</a:t>
          </a:r>
        </a:p>
      </cdr:txBody>
    </cdr:sp>
  </cdr:relSizeAnchor>
  <cdr:relSizeAnchor xmlns:cdr="http://schemas.openxmlformats.org/drawingml/2006/chartDrawing">
    <cdr:from>
      <cdr:x>0</cdr:x>
      <cdr:y>0.00426</cdr:y>
    </cdr:from>
    <cdr:to>
      <cdr:x>0.9995</cdr:x>
      <cdr:y>0.13143</cdr:y>
    </cdr:to>
    <cdr:sp macro="" textlink="">
      <cdr:nvSpPr>
        <cdr:cNvPr id="6" name="Прямоугольник 5"/>
        <cdr:cNvSpPr/>
      </cdr:nvSpPr>
      <cdr:spPr>
        <a:xfrm xmlns:a="http://schemas.openxmlformats.org/drawingml/2006/main">
          <a:off x="0" y="14226"/>
          <a:ext cx="4589399" cy="424686"/>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a:r>
            <a:rPr lang="ru-RU" sz="1000" b="1" i="0" baseline="0">
              <a:solidFill>
                <a:schemeClr val="lt1"/>
              </a:solidFill>
              <a:latin typeface="Times New Roman" pitchFamily="18" charset="0"/>
              <a:ea typeface="+mn-ea"/>
              <a:cs typeface="Times New Roman" pitchFamily="18" charset="0"/>
            </a:rPr>
            <a:t>Камышлинский р-он занимает  11  место среди муниципальных районов Самарской области по расходам  местного бюджета на душу населения</a:t>
          </a:r>
          <a:endParaRPr lang="ru-RU" sz="10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0.40619</cdr:x>
      <cdr:y>0.10904</cdr:y>
    </cdr:from>
    <cdr:to>
      <cdr:x>0.40919</cdr:x>
      <cdr:y>0.8984</cdr:y>
    </cdr:to>
    <cdr:cxnSp macro="">
      <cdr:nvCxnSpPr>
        <cdr:cNvPr id="3" name="Прямая соединительная линия 2"/>
        <cdr:cNvCxnSpPr/>
      </cdr:nvCxnSpPr>
      <cdr:spPr>
        <a:xfrm xmlns:a="http://schemas.openxmlformats.org/drawingml/2006/main" flipH="1" flipV="1">
          <a:off x="2267795" y="441001"/>
          <a:ext cx="16750" cy="3192422"/>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0.10195</cdr:x>
      <cdr:y>0.7766</cdr:y>
    </cdr:from>
    <cdr:to>
      <cdr:x>0.95202</cdr:x>
      <cdr:y>0.78298</cdr:y>
    </cdr:to>
    <cdr:cxnSp macro="">
      <cdr:nvCxnSpPr>
        <cdr:cNvPr id="5" name="Прямая соединительная линия 4"/>
        <cdr:cNvCxnSpPr/>
      </cdr:nvCxnSpPr>
      <cdr:spPr>
        <a:xfrm xmlns:a="http://schemas.openxmlformats.org/drawingml/2006/main" flipV="1">
          <a:off x="647700" y="3476625"/>
          <a:ext cx="5400675" cy="28576"/>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0.21215</cdr:y>
    </cdr:to>
    <cdr:sp macro="" textlink="">
      <cdr:nvSpPr>
        <cdr:cNvPr id="2" name="Прямоугольник 1"/>
        <cdr:cNvSpPr/>
      </cdr:nvSpPr>
      <cdr:spPr>
        <a:xfrm xmlns:a="http://schemas.openxmlformats.org/drawingml/2006/main">
          <a:off x="0" y="0"/>
          <a:ext cx="2414905" cy="695740"/>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0"/>
            </a:spcAft>
          </a:pPr>
          <a:r>
            <a:rPr lang="ru-RU" sz="1000" b="1" baseline="0">
              <a:solidFill>
                <a:schemeClr val="lt1"/>
              </a:solidFill>
              <a:effectLst/>
              <a:latin typeface="Times New Roman" pitchFamily="18" charset="0"/>
              <a:ea typeface="+mn-ea"/>
              <a:cs typeface="+mn-cs"/>
            </a:rPr>
            <a:t>Среднемесячная  заработная плата в районе находится  ниже среднего уровня  Самарской области и РФ</a:t>
          </a:r>
          <a:endParaRPr lang="ru-RU" sz="1000" b="1">
            <a:effectLst/>
            <a:latin typeface="Times New Roman" pitchFamily="18" charset="0"/>
            <a:ea typeface="Calibri"/>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0.2</cdr:y>
    </cdr:to>
    <cdr:sp macro="" textlink="">
      <cdr:nvSpPr>
        <cdr:cNvPr id="3" name="Прямоугольник 2"/>
        <cdr:cNvSpPr/>
      </cdr:nvSpPr>
      <cdr:spPr>
        <a:xfrm xmlns:a="http://schemas.openxmlformats.org/drawingml/2006/main">
          <a:off x="0" y="0"/>
          <a:ext cx="2474595" cy="685799"/>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0"/>
            </a:spcAft>
          </a:pPr>
          <a:r>
            <a:rPr lang="ru-RU" sz="1000" b="1">
              <a:solidFill>
                <a:srgbClr val="FFFFFF"/>
              </a:solidFill>
              <a:effectLst/>
              <a:latin typeface="Times New Roman" pitchFamily="18" charset="0"/>
              <a:ea typeface="Calibri"/>
              <a:cs typeface="Times New Roman" pitchFamily="18" charset="0"/>
            </a:rPr>
            <a:t>Уровень зарегистрированной безработицы высокий по сравнению</a:t>
          </a:r>
          <a:r>
            <a:rPr lang="ru-RU" sz="1000" b="1" baseline="0">
              <a:solidFill>
                <a:srgbClr val="FFFFFF"/>
              </a:solidFill>
              <a:effectLst/>
              <a:latin typeface="Times New Roman" pitchFamily="18" charset="0"/>
              <a:ea typeface="Calibri"/>
              <a:cs typeface="Times New Roman" pitchFamily="18" charset="0"/>
            </a:rPr>
            <a:t> с  уровнем Самарской области и РФ</a:t>
          </a:r>
          <a:endParaRPr lang="ru-RU" sz="1000">
            <a:effectLst/>
            <a:latin typeface="Times New Roman" pitchFamily="18" charset="0"/>
            <a:ea typeface="Calibri"/>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0.5311</cdr:x>
      <cdr:y>0.93558</cdr:y>
    </cdr:from>
    <cdr:to>
      <cdr:x>0.7496</cdr:x>
      <cdr:y>0.98783</cdr:y>
    </cdr:to>
    <cdr:sp macro="" textlink="">
      <cdr:nvSpPr>
        <cdr:cNvPr id="2" name="TextBox 1"/>
        <cdr:cNvSpPr txBox="1"/>
      </cdr:nvSpPr>
      <cdr:spPr>
        <a:xfrm xmlns:a="http://schemas.openxmlformats.org/drawingml/2006/main">
          <a:off x="2718223" y="3458818"/>
          <a:ext cx="1118281" cy="1931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i="1">
              <a:latin typeface="Times New Roman" pitchFamily="18" charset="0"/>
              <a:cs typeface="Times New Roman" pitchFamily="18" charset="0"/>
            </a:rPr>
            <a:t>         </a:t>
          </a:r>
          <a:r>
            <a:rPr lang="ru-RU" sz="900" i="1">
              <a:latin typeface="Times New Roman" pitchFamily="18" charset="0"/>
              <a:cs typeface="Times New Roman" pitchFamily="18" charset="0"/>
            </a:rPr>
            <a:t>Среднее: </a:t>
          </a:r>
          <a:r>
            <a:rPr lang="en-US" sz="900" i="1">
              <a:latin typeface="Times New Roman" pitchFamily="18" charset="0"/>
              <a:cs typeface="Times New Roman" pitchFamily="18" charset="0"/>
            </a:rPr>
            <a:t>40</a:t>
          </a:r>
          <a:endParaRPr lang="ru-RU" sz="900" i="1">
            <a:latin typeface="Times New Roman" pitchFamily="18" charset="0"/>
            <a:cs typeface="Times New Roman" pitchFamily="18" charset="0"/>
          </a:endParaRPr>
        </a:p>
      </cdr:txBody>
    </cdr:sp>
  </cdr:relSizeAnchor>
  <cdr:relSizeAnchor xmlns:cdr="http://schemas.openxmlformats.org/drawingml/2006/chartDrawing">
    <cdr:from>
      <cdr:x>0.62597</cdr:x>
      <cdr:y>0.91907</cdr:y>
    </cdr:from>
    <cdr:to>
      <cdr:x>0.64545</cdr:x>
      <cdr:y>0.94136</cdr:y>
    </cdr:to>
    <cdr:sp macro="" textlink="">
      <cdr:nvSpPr>
        <cdr:cNvPr id="3" name="Равнобедренный треугольник 2"/>
        <cdr:cNvSpPr/>
      </cdr:nvSpPr>
      <cdr:spPr>
        <a:xfrm xmlns:a="http://schemas.openxmlformats.org/drawingml/2006/main">
          <a:off x="3941521" y="4143321"/>
          <a:ext cx="122696" cy="100465"/>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endParaRPr lang="ru-RU" sz="1200" b="1">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0.63242</cdr:x>
      <cdr:y>0.93063</cdr:y>
    </cdr:from>
    <cdr:to>
      <cdr:x>0.83598</cdr:x>
      <cdr:y>1</cdr:y>
    </cdr:to>
    <cdr:sp macro="" textlink="">
      <cdr:nvSpPr>
        <cdr:cNvPr id="2" name="TextBox 1"/>
        <cdr:cNvSpPr txBox="1"/>
      </cdr:nvSpPr>
      <cdr:spPr>
        <a:xfrm xmlns:a="http://schemas.openxmlformats.org/drawingml/2006/main">
          <a:off x="3658555" y="3912129"/>
          <a:ext cx="1177576" cy="2916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i="1">
              <a:latin typeface="Times New Roman" pitchFamily="18" charset="0"/>
              <a:cs typeface="Times New Roman" pitchFamily="18" charset="0"/>
            </a:rPr>
            <a:t>Среднее: 22,7 </a:t>
          </a:r>
        </a:p>
      </cdr:txBody>
    </cdr:sp>
  </cdr:relSizeAnchor>
  <cdr:relSizeAnchor xmlns:cdr="http://schemas.openxmlformats.org/drawingml/2006/chartDrawing">
    <cdr:from>
      <cdr:x>0.68282</cdr:x>
      <cdr:y>0.88347</cdr:y>
    </cdr:from>
    <cdr:to>
      <cdr:x>0.71025</cdr:x>
      <cdr:y>0.92371</cdr:y>
    </cdr:to>
    <cdr:sp macro="" textlink="">
      <cdr:nvSpPr>
        <cdr:cNvPr id="3" name="Равнобедренный треугольник 2"/>
        <cdr:cNvSpPr/>
      </cdr:nvSpPr>
      <cdr:spPr>
        <a:xfrm xmlns:a="http://schemas.openxmlformats.org/drawingml/2006/main">
          <a:off x="3950073" y="3713871"/>
          <a:ext cx="158730" cy="169172"/>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endParaRPr lang="ru-RU" sz="1200" b="1">
            <a:latin typeface="Times New Roman" pitchFamily="18" charset="0"/>
            <a:cs typeface="Times New Roman" pitchFamily="18" charset="0"/>
          </a:endParaRPr>
        </a:p>
      </cdr:txBody>
    </cdr:sp>
  </cdr:relSizeAnchor>
  <cdr:relSizeAnchor xmlns:cdr="http://schemas.openxmlformats.org/drawingml/2006/chartDrawing">
    <cdr:from>
      <cdr:x>0.84082</cdr:x>
      <cdr:y>0.17513</cdr:y>
    </cdr:from>
    <cdr:to>
      <cdr:x>1</cdr:x>
      <cdr:y>0.37881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95042" y="516890"/>
          <a:ext cx="794181" cy="601158"/>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0.15344</cdr:x>
      <cdr:y>0.48177</cdr:y>
    </cdr:from>
    <cdr:to>
      <cdr:x>0.9342</cdr:x>
      <cdr:y>0.49007</cdr:y>
    </cdr:to>
    <cdr:cxnSp macro="">
      <cdr:nvCxnSpPr>
        <cdr:cNvPr id="2" name="Прямая соединительная линия 1"/>
        <cdr:cNvCxnSpPr/>
      </cdr:nvCxnSpPr>
      <cdr:spPr>
        <a:xfrm xmlns:a="http://schemas.openxmlformats.org/drawingml/2006/main">
          <a:off x="625236" y="1436326"/>
          <a:ext cx="3181451" cy="24727"/>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0.38673</cdr:x>
      <cdr:y>0.02669</cdr:y>
    </cdr:from>
    <cdr:to>
      <cdr:x>0.39494</cdr:x>
      <cdr:y>0.87292</cdr:y>
    </cdr:to>
    <cdr:cxnSp macro="">
      <cdr:nvCxnSpPr>
        <cdr:cNvPr id="3" name="Прямая соединительная линия 2"/>
        <cdr:cNvCxnSpPr/>
      </cdr:nvCxnSpPr>
      <cdr:spPr>
        <a:xfrm xmlns:a="http://schemas.openxmlformats.org/drawingml/2006/main" flipH="1" flipV="1">
          <a:off x="1679713" y="109331"/>
          <a:ext cx="35684" cy="3466469"/>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0.53625</cdr:x>
      <cdr:y>0.93427</cdr:y>
    </cdr:from>
    <cdr:to>
      <cdr:x>0.55471</cdr:x>
      <cdr:y>0.9625</cdr:y>
    </cdr:to>
    <cdr:sp macro="" textlink="">
      <cdr:nvSpPr>
        <cdr:cNvPr id="2" name="Равнобедренный треугольник 1"/>
        <cdr:cNvSpPr/>
      </cdr:nvSpPr>
      <cdr:spPr>
        <a:xfrm xmlns:a="http://schemas.openxmlformats.org/drawingml/2006/main">
          <a:off x="2231435" y="3944006"/>
          <a:ext cx="126379" cy="116842"/>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0.54536</cdr:x>
      <cdr:y>0.94869</cdr:y>
    </cdr:from>
    <cdr:to>
      <cdr:x>0.73631</cdr:x>
      <cdr:y>0.99799</cdr:y>
    </cdr:to>
    <cdr:sp macro="" textlink="">
      <cdr:nvSpPr>
        <cdr:cNvPr id="6" name="TextBox 5"/>
        <cdr:cNvSpPr txBox="1"/>
      </cdr:nvSpPr>
      <cdr:spPr>
        <a:xfrm xmlns:a="http://schemas.openxmlformats.org/drawingml/2006/main">
          <a:off x="2270358" y="3811965"/>
          <a:ext cx="928515" cy="1917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i="1" baseline="0">
              <a:latin typeface="Times New Roman" pitchFamily="18" charset="0"/>
              <a:cs typeface="Times New Roman" pitchFamily="18" charset="0"/>
            </a:rPr>
            <a:t>Среднее</a:t>
          </a:r>
          <a:r>
            <a:rPr lang="ru-RU" sz="900" i="1">
              <a:latin typeface="Times New Roman" pitchFamily="18" charset="0"/>
              <a:cs typeface="Times New Roman" pitchFamily="18" charset="0"/>
            </a:rPr>
            <a:t>: 39,7 </a:t>
          </a:r>
        </a:p>
      </cdr:txBody>
    </cdr:sp>
  </cdr:relSizeAnchor>
  <cdr:relSizeAnchor xmlns:cdr="http://schemas.openxmlformats.org/drawingml/2006/chartDrawing">
    <cdr:from>
      <cdr:x>0</cdr:x>
      <cdr:y>2.42996E-7</cdr:y>
    </cdr:from>
    <cdr:to>
      <cdr:x>1</cdr:x>
      <cdr:y>0.14693</cdr:y>
    </cdr:to>
    <cdr:sp macro="" textlink="">
      <cdr:nvSpPr>
        <cdr:cNvPr id="4" name="Прямоугольник 3"/>
        <cdr:cNvSpPr>
          <a:spLocks xmlns:a="http://schemas.openxmlformats.org/drawingml/2006/main" noChangeArrowheads="1"/>
        </cdr:cNvSpPr>
      </cdr:nvSpPr>
      <cdr:spPr bwMode="auto">
        <a:xfrm xmlns:a="http://schemas.openxmlformats.org/drawingml/2006/main">
          <a:off x="0" y="1"/>
          <a:ext cx="4225192" cy="586154"/>
        </a:xfrm>
        <a:prstGeom xmlns:a="http://schemas.openxmlformats.org/drawingml/2006/main" prst="rect">
          <a:avLst/>
        </a:prstGeom>
        <a:solidFill xmlns:a="http://schemas.openxmlformats.org/drawingml/2006/main">
          <a:srgbClr val="365F91"/>
        </a:solidFill>
        <a:ln xmlns:a="http://schemas.openxmlformats.org/drawingml/2006/main" w="9525">
          <a:solidFill>
            <a:srgbClr val="365F91"/>
          </a:solidFill>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lnSpc>
              <a:spcPct val="115000"/>
            </a:lnSpc>
            <a:spcAft>
              <a:spcPts val="0"/>
            </a:spcAft>
          </a:pPr>
          <a:r>
            <a:rPr lang="ru-RU" sz="1000" b="1">
              <a:solidFill>
                <a:srgbClr val="FFFFFF"/>
              </a:solidFill>
              <a:effectLst/>
              <a:latin typeface="Times New Roman" pitchFamily="18" charset="0"/>
              <a:ea typeface="Calibri"/>
              <a:cs typeface="Times New Roman" pitchFamily="18" charset="0"/>
            </a:rPr>
            <a:t>Камышлинский район занимает 4 место по обеспеченности населения спортивнымт сооружениями среди районов Самарской области </a:t>
          </a:r>
          <a:endParaRPr lang="ru-RU" sz="1000">
            <a:effectLst/>
            <a:latin typeface="Times New Roman" pitchFamily="18" charset="0"/>
            <a:ea typeface="Calibri"/>
            <a:cs typeface="Times New Roman" pitchFamily="18" charset="0"/>
          </a:endParaRPr>
        </a:p>
        <a:p xmlns:a="http://schemas.openxmlformats.org/drawingml/2006/main">
          <a:pPr algn="ctr">
            <a:lnSpc>
              <a:spcPct val="115000"/>
            </a:lnSpc>
            <a:spcAft>
              <a:spcPts val="0"/>
            </a:spcAft>
          </a:pPr>
          <a:r>
            <a:rPr lang="ru-RU" sz="1000" b="1">
              <a:solidFill>
                <a:srgbClr val="FFFFFF"/>
              </a:solidFill>
              <a:effectLst/>
              <a:latin typeface="Times New Roman" pitchFamily="18" charset="0"/>
              <a:ea typeface="Calibri"/>
              <a:cs typeface="Times New Roman" pitchFamily="18" charset="0"/>
            </a:rPr>
            <a:t> </a:t>
          </a:r>
          <a:endParaRPr lang="ru-RU" sz="1000">
            <a:effectLst/>
            <a:latin typeface="Times New Roman" pitchFamily="18" charset="0"/>
            <a:ea typeface="Calibri"/>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FF8870-FB8C-4DA5-85C5-059A91FC0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134</Pages>
  <Words>28391</Words>
  <Characters>161830</Characters>
  <Application>Microsoft Office Word</Application>
  <DocSecurity>0</DocSecurity>
  <Lines>1348</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189842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81</cp:revision>
  <dcterms:created xsi:type="dcterms:W3CDTF">2018-09-28T05:40:00Z</dcterms:created>
  <dcterms:modified xsi:type="dcterms:W3CDTF">2022-06-09T11:51:00Z</dcterms:modified>
</cp:coreProperties>
</file>